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93afe55820db524e75e25f7a99b167c964c719f"/>
    <w:p>
      <w:pPr>
        <w:pStyle w:val="Heading1"/>
      </w:pPr>
      <w:r>
        <w:t xml:space="preserve">Comprehensive Marketing Plan for Doctor General Practitioner Practice in Cape Town, South Africa</w:t>
      </w:r>
    </w:p>
    <w:bookmarkStart w:id="20" w:name="executive-summary"/>
    <w:p>
      <w:pPr>
        <w:pStyle w:val="Heading2"/>
      </w:pPr>
      <w:r>
        <w:t xml:space="preserve">Executive Summary</w:t>
      </w:r>
    </w:p>
    <w:p>
      <w:pPr>
        <w:pStyle w:val="FirstParagraph"/>
      </w:pPr>
      <w:r>
        <w:t xml:space="preserve">This Marketing Plan outlines a targeted strategy to establish and grow a premier Doctor General Practitioner (GP) practice in Cape Town, South Africa. Recognizing the critical healthcare needs of Cape Town's diverse population and the competitive landscape of primary care, this plan focuses on building trust, accessibility, and community integration. With South Africa's high prevalence of chronic conditions like hypertension and diabetes—exacerbated by socio-economic disparities—the Doctor General Practitioner practice will position itself as a compassionate, culturally competent healthcare partner serving Cape Town residents from Woodstock to Wynberg. Our goal is to achieve 50% market penetration among target demographics within 24 months through localized digital engagement, community partnerships, and exceptional patient experience.</w:t>
      </w:r>
    </w:p>
    <w:bookmarkEnd w:id="20"/>
    <w:bookmarkStart w:id="21" w:name="Xc181e1e79921579a7a6a6546ba8783bf1a53737"/>
    <w:p>
      <w:pPr>
        <w:pStyle w:val="Heading2"/>
      </w:pPr>
      <w:r>
        <w:t xml:space="preserve">Situation Analysis: Cape Town Healthcare Landscape</w:t>
      </w:r>
    </w:p>
    <w:p>
      <w:pPr>
        <w:pStyle w:val="FirstParagraph"/>
      </w:pPr>
      <w:r>
        <w:t xml:space="preserve">Cape Town faces significant healthcare challenges including overcrowded public facilities, high out-of-pocket costs for private care, and geographic barriers in informal settlements. According to the South African National Department of Health (2023), 65% of Cape Town residents rely on overburdened public clinics for primary care. Meanwhile, private GP practices often lack cultural sensitivity to the city’s diverse ethnic groups (Xhosa, Afrikaans, Coloured communities). The Doctor General Practitioner practice will directly address these gaps by offering affordable telehealth options and neighborhood-based services. Competitors in Cape Town include large hospital-affiliated clinics with impersonal care models, creating an opportunity for our patient-centered approach.</w:t>
      </w:r>
    </w:p>
    <w:bookmarkEnd w:id="21"/>
    <w:bookmarkStart w:id="22" w:name="marketing-objectives"/>
    <w:p>
      <w:pPr>
        <w:pStyle w:val="Heading2"/>
      </w:pPr>
      <w:r>
        <w:t xml:space="preserve">Marketing Objectives</w:t>
      </w:r>
    </w:p>
    <w:p>
      <w:pPr>
        <w:numPr>
          <w:ilvl w:val="0"/>
          <w:numId w:val="1001"/>
        </w:numPr>
        <w:pStyle w:val="Compact"/>
      </w:pPr>
      <w:r>
        <w:t xml:space="preserve">Attain 300 active patients within the first year through targeted community outreach.</w:t>
      </w:r>
    </w:p>
    <w:p>
      <w:pPr>
        <w:numPr>
          <w:ilvl w:val="0"/>
          <w:numId w:val="1001"/>
        </w:numPr>
        <w:pStyle w:val="Compact"/>
      </w:pPr>
      <w:r>
        <w:t xml:space="preserve">Achieve 95% patient satisfaction (measured via post-visit surveys) by Year 2.</w:t>
      </w:r>
    </w:p>
    <w:p>
      <w:pPr>
        <w:numPr>
          <w:ilvl w:val="0"/>
          <w:numId w:val="1001"/>
        </w:numPr>
        <w:pStyle w:val="Compact"/>
      </w:pPr>
      <w:r>
        <w:t xml:space="preserve">Secure partnerships with 15 local organizations (schools, NGOs, community centers) in Cape Town within 18 months.</w:t>
      </w:r>
    </w:p>
    <w:p>
      <w:pPr>
        <w:numPr>
          <w:ilvl w:val="0"/>
          <w:numId w:val="1001"/>
        </w:numPr>
        <w:pStyle w:val="Compact"/>
      </w:pPr>
      <w:r>
        <w:t xml:space="preserve">Attain a digital presence reaching 70% of Cape Town households via localized social media campaigns.</w:t>
      </w:r>
    </w:p>
    <w:bookmarkEnd w:id="22"/>
    <w:bookmarkStart w:id="23" w:name="target-audience-segmentation"/>
    <w:p>
      <w:pPr>
        <w:pStyle w:val="Heading2"/>
      </w:pPr>
      <w:r>
        <w:t xml:space="preserve">Target Audience Segmentation</w:t>
      </w:r>
    </w:p>
    <w:p>
      <w:pPr>
        <w:pStyle w:val="FirstParagraph"/>
      </w:pPr>
      <w:r>
        <w:t xml:space="preserve">The strategy prioritizes three key segments within South Africa Cape Town:</w:t>
      </w:r>
    </w:p>
    <w:p>
      <w:pPr>
        <w:numPr>
          <w:ilvl w:val="0"/>
          <w:numId w:val="1002"/>
        </w:numPr>
        <w:pStyle w:val="Compact"/>
      </w:pPr>
      <w:r>
        <w:rPr>
          <w:bCs/>
          <w:b/>
        </w:rPr>
        <w:t xml:space="preserve">Urban Working Professionals (35-54 years):</w:t>
      </w:r>
      <w:r>
        <w:t xml:space="preserve"> </w:t>
      </w:r>
      <w:r>
        <w:t xml:space="preserve">Dual-income families in areas like Claremont and Century City seeking convenient, English-speaking care. They value telehealth appointments and health screenings.</w:t>
      </w:r>
    </w:p>
    <w:p>
      <w:pPr>
        <w:numPr>
          <w:ilvl w:val="0"/>
          <w:numId w:val="1002"/>
        </w:numPr>
        <w:pStyle w:val="Compact"/>
      </w:pPr>
      <w:r>
        <w:rPr>
          <w:bCs/>
          <w:b/>
        </w:rPr>
        <w:t xml:space="preserve">Rural-Affiliated Residents (25-45 years):</w:t>
      </w:r>
      <w:r>
        <w:t xml:space="preserve"> </w:t>
      </w:r>
      <w:r>
        <w:t xml:space="preserve">Communities in Cape Flats and Southern Suburbs facing transport barriers. Prioritize mobile clinics on weekends and affordable "Wellness Packages" (R199 for blood pressure, glucose tests).</w:t>
      </w:r>
    </w:p>
    <w:p>
      <w:pPr>
        <w:numPr>
          <w:ilvl w:val="0"/>
          <w:numId w:val="1002"/>
        </w:numPr>
        <w:pStyle w:val="Compact"/>
      </w:pPr>
      <w:r>
        <w:rPr>
          <w:bCs/>
          <w:b/>
        </w:rPr>
        <w:t xml:space="preserve">Schools &amp; Community Organizations:</w:t>
      </w:r>
      <w:r>
        <w:t xml:space="preserve"> </w:t>
      </w:r>
      <w:r>
        <w:t xml:space="preserve">Partnerships with schools (e.g., St. John’s, Good Hope) for student health fairs and NGO collaborations (e.g., Cape Town Food Bank) to provide free preventive care.</w:t>
      </w:r>
    </w:p>
    <w:bookmarkEnd w:id="23"/>
    <w:bookmarkStart w:id="27" w:name="marketing-strategies-tactical-execution"/>
    <w:p>
      <w:pPr>
        <w:pStyle w:val="Heading2"/>
      </w:pPr>
      <w:r>
        <w:t xml:space="preserve">Marketing Strategies &amp; Tactical Execution</w:t>
      </w:r>
    </w:p>
    <w:bookmarkStart w:id="24" w:name="hyper-localized-digital-engagement"/>
    <w:p>
      <w:pPr>
        <w:pStyle w:val="Heading3"/>
      </w:pPr>
      <w:r>
        <w:t xml:space="preserve">1. Hyper-Localized Digital Engagement</w:t>
      </w:r>
    </w:p>
    <w:p>
      <w:pPr>
        <w:pStyle w:val="FirstParagraph"/>
      </w:pPr>
      <w:r>
        <w:t xml:space="preserve">In South Africa Cape Town, 87% of residents use Facebook (Statista, 2023). Our strategy leverages this through:</w:t>
      </w:r>
    </w:p>
    <w:p>
      <w:pPr>
        <w:numPr>
          <w:ilvl w:val="0"/>
          <w:numId w:val="1003"/>
        </w:numPr>
        <w:pStyle w:val="Compact"/>
      </w:pPr>
      <w:r>
        <w:rPr>
          <w:bCs/>
          <w:b/>
        </w:rPr>
        <w:t xml:space="preserve">Cape Town-Centric Social Content:</w:t>
      </w:r>
      <w:r>
        <w:t xml:space="preserve"> </w:t>
      </w:r>
      <w:r>
        <w:t xml:space="preserve">Daily Instagram Reels featuring "Doctor's Tip Tuesdays" (e.g., managing diabetes on a budget in Khayelitsha) with #CapeTownHealth.</w:t>
      </w:r>
    </w:p>
    <w:p>
      <w:pPr>
        <w:numPr>
          <w:ilvl w:val="0"/>
          <w:numId w:val="1003"/>
        </w:numPr>
        <w:pStyle w:val="Compact"/>
      </w:pPr>
      <w:r>
        <w:rPr>
          <w:bCs/>
          <w:b/>
        </w:rPr>
        <w:t xml:space="preserve">Google My Business Optimization:</w:t>
      </w:r>
      <w:r>
        <w:t xml:space="preserve"> </w:t>
      </w:r>
      <w:r>
        <w:t xml:space="preserve">Listing as "Doctor General Practitioner near me" with Cape Town-specific keywords ("GP Woodstock," "Affordable Doctor Cape Town").</w:t>
      </w:r>
    </w:p>
    <w:p>
      <w:pPr>
        <w:numPr>
          <w:ilvl w:val="0"/>
          <w:numId w:val="1003"/>
        </w:numPr>
        <w:pStyle w:val="Compact"/>
      </w:pPr>
      <w:r>
        <w:rPr>
          <w:bCs/>
          <w:b/>
        </w:rPr>
        <w:t xml:space="preserve">WhatsApp Health Alerts:</w:t>
      </w:r>
      <w:r>
        <w:t xml:space="preserve"> </w:t>
      </w:r>
      <w:r>
        <w:t xml:space="preserve">Patients opt-in for SMS reminders (e.g., "Your flu shot appointment at 9 AM tomorrow at Claremont Clinic")—critical for communities with low smartphone penetration.</w:t>
      </w:r>
    </w:p>
    <w:bookmarkEnd w:id="24"/>
    <w:bookmarkStart w:id="25" w:name="community-integration-programs"/>
    <w:p>
      <w:pPr>
        <w:pStyle w:val="Heading3"/>
      </w:pPr>
      <w:r>
        <w:t xml:space="preserve">2. Community Integration Programs</w:t>
      </w:r>
    </w:p>
    <w:p>
      <w:pPr>
        <w:pStyle w:val="FirstParagraph"/>
      </w:pPr>
      <w:r>
        <w:t xml:space="preserve">Moving beyond clinic walls, the Doctor General Practitioner will embed into Cape Town life:</w:t>
      </w:r>
    </w:p>
    <w:p>
      <w:pPr>
        <w:numPr>
          <w:ilvl w:val="0"/>
          <w:numId w:val="1004"/>
        </w:numPr>
        <w:pStyle w:val="Compact"/>
      </w:pPr>
      <w:r>
        <w:rPr>
          <w:bCs/>
          <w:b/>
        </w:rPr>
        <w:t xml:space="preserve">Monthly "Health on the Go" Clinics:</w:t>
      </w:r>
      <w:r>
        <w:t xml:space="preserve"> </w:t>
      </w:r>
      <w:r>
        <w:t xml:space="preserve">Partnering with MyCiTi buses for pop-up check-ups at Langa Township and Gugulethu community centers.</w:t>
      </w:r>
    </w:p>
    <w:p>
      <w:pPr>
        <w:numPr>
          <w:ilvl w:val="0"/>
          <w:numId w:val="1004"/>
        </w:numPr>
        <w:pStyle w:val="Compact"/>
      </w:pPr>
      <w:r>
        <w:rPr>
          <w:bCs/>
          <w:b/>
        </w:rPr>
        <w:t xml:space="preserve">Cultural Competency Workshops:</w:t>
      </w:r>
      <w:r>
        <w:t xml:space="preserve"> </w:t>
      </w:r>
      <w:r>
        <w:t xml:space="preserve">Free sessions for staff at Cape Town mosques, churches, and cultural associations to understand health beliefs (e.g., traditional healing integration).</w:t>
      </w:r>
    </w:p>
    <w:p>
      <w:pPr>
        <w:numPr>
          <w:ilvl w:val="0"/>
          <w:numId w:val="1004"/>
        </w:numPr>
        <w:pStyle w:val="Compact"/>
      </w:pPr>
      <w:r>
        <w:rPr>
          <w:bCs/>
          <w:b/>
        </w:rPr>
        <w:t xml:space="preserve">School Health Programs:</w:t>
      </w:r>
      <w:r>
        <w:t xml:space="preserve"> </w:t>
      </w:r>
      <w:r>
        <w:t xml:space="preserve">Annual "Healthy Kids Days" at 10 public schools with free vision/height-weight screenings.</w:t>
      </w:r>
    </w:p>
    <w:bookmarkEnd w:id="25"/>
    <w:bookmarkStart w:id="26" w:name="X954d33f443f841b0642df49ee56ec22ad4b545c"/>
    <w:p>
      <w:pPr>
        <w:pStyle w:val="Heading3"/>
      </w:pPr>
      <w:r>
        <w:t xml:space="preserve">3. Strategic Pricing for South Africa Context</w:t>
      </w:r>
    </w:p>
    <w:p>
      <w:pPr>
        <w:pStyle w:val="FirstParagraph"/>
      </w:pPr>
      <w:r>
        <w:t xml:space="preserve">To address Cape Town’s economic diversity, we implement a tiered model:</w:t>
      </w:r>
    </w:p>
    <w:p>
      <w:pPr>
        <w:numPr>
          <w:ilvl w:val="0"/>
          <w:numId w:val="1005"/>
        </w:numPr>
        <w:pStyle w:val="Compact"/>
      </w:pPr>
      <w:r>
        <w:rPr>
          <w:bCs/>
          <w:b/>
        </w:rPr>
        <w:t xml:space="preserve">Premium Service (R850/visit):</w:t>
      </w:r>
      <w:r>
        <w:t xml:space="preserve"> </w:t>
      </w:r>
      <w:r>
        <w:t xml:space="preserve">For private insurance holders in Sea Point or Bishop Lavis.</w:t>
      </w:r>
    </w:p>
    <w:p>
      <w:pPr>
        <w:numPr>
          <w:ilvl w:val="0"/>
          <w:numId w:val="1005"/>
        </w:numPr>
        <w:pStyle w:val="Compact"/>
      </w:pPr>
      <w:r>
        <w:rPr>
          <w:bCs/>
          <w:b/>
        </w:rPr>
        <w:t xml:space="preserve">Community Care (R299/visit):</w:t>
      </w:r>
      <w:r>
        <w:t xml:space="preserve"> </w:t>
      </w:r>
      <w:r>
        <w:t xml:space="preserve">Subsidized rates for residents of Cape Town’s top 3 poverty zones (e.g., Khayelitsha), funded via NGO partnerships.</w:t>
      </w:r>
    </w:p>
    <w:p>
      <w:pPr>
        <w:numPr>
          <w:ilvl w:val="0"/>
          <w:numId w:val="1005"/>
        </w:numPr>
        <w:pStyle w:val="Compact"/>
      </w:pPr>
      <w:r>
        <w:rPr>
          <w:bCs/>
          <w:b/>
        </w:rPr>
        <w:t xml:space="preserve">Preventive Health Bundles:</w:t>
      </w:r>
      <w:r>
        <w:t xml:space="preserve"> </w:t>
      </w:r>
      <w:r>
        <w:t xml:space="preserve">"Cape Town Wellness Pass" (R500/month) includes 2 visits + nutrition counseling—targeting chronic disease management common in South Africa.</w:t>
      </w:r>
    </w:p>
    <w:bookmarkEnd w:id="26"/>
    <w:bookmarkEnd w:id="27"/>
    <w:bookmarkStart w:id="28" w:name="budget-allocation"/>
    <w:p>
      <w:pPr>
        <w:pStyle w:val="Heading2"/>
      </w:pPr>
      <w:r>
        <w:t xml:space="preserve">Budget Allocation</w:t>
      </w:r>
    </w:p>
    <w:p>
      <w:pPr>
        <w:pStyle w:val="FirstParagraph"/>
      </w:pPr>
      <w:r>
        <w:t xml:space="preserve">The R1.8 million annual budget prioritizes high-impact Cape Town activities:</w:t>
      </w:r>
    </w:p>
    <w:p>
      <w:pPr>
        <w:numPr>
          <w:ilvl w:val="0"/>
          <w:numId w:val="1006"/>
        </w:numPr>
        <w:pStyle w:val="Compact"/>
      </w:pPr>
      <w:r>
        <w:t xml:space="preserve">50% Digital Marketing: Targeted Facebook/Google ads focusing on Cape Town neighborhoods.</w:t>
      </w:r>
    </w:p>
    <w:p>
      <w:pPr>
        <w:numPr>
          <w:ilvl w:val="0"/>
          <w:numId w:val="1006"/>
        </w:numPr>
        <w:pStyle w:val="Compact"/>
      </w:pPr>
      <w:r>
        <w:t xml:space="preserve">30% Community Programs: Mobile clinic vehicles, workshop materials, and partnership stipends.</w:t>
      </w:r>
    </w:p>
    <w:p>
      <w:pPr>
        <w:numPr>
          <w:ilvl w:val="0"/>
          <w:numId w:val="1006"/>
        </w:numPr>
        <w:pStyle w:val="Compact"/>
      </w:pPr>
      <w:r>
        <w:t xml:space="preserve">15% Patient Incentives: Free first-visit health kits with local brand collabs (e.g., Cape Town Coffee Co.).</w:t>
      </w:r>
    </w:p>
    <w:p>
      <w:pPr>
        <w:numPr>
          <w:ilvl w:val="0"/>
          <w:numId w:val="1006"/>
        </w:numPr>
        <w:pStyle w:val="Compact"/>
      </w:pPr>
      <w:r>
        <w:t xml:space="preserve">5% Contingency for unplanned community needs.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foundations: Secure partnerships with Cape Town City Council, launch geo-targeted social campaigns.</w:t>
            </w:r>
          </w:p>
        </w:tc>
      </w:tr>
      <w:tr>
        <w:tc>
          <w:tcPr/>
          <w:p>
            <w:pPr>
              <w:pStyle w:val="Compact"/>
              <w:jc w:val="left"/>
            </w:pPr>
            <w:r>
              <w:t xml:space="preserve">Q2 2024</w:t>
            </w:r>
          </w:p>
        </w:tc>
        <w:tc>
          <w:tcPr/>
          <w:p>
            <w:pPr>
              <w:pStyle w:val="Compact"/>
              <w:jc w:val="left"/>
            </w:pPr>
            <w:r>
              <w:t xml:space="preserve">Deploy mobile clinics in Khayelitsha; train staff on Xhosa/English patient communication.</w:t>
            </w:r>
          </w:p>
        </w:tc>
      </w:tr>
      <w:tr>
        <w:tc>
          <w:tcPr/>
          <w:p>
            <w:pPr>
              <w:pStyle w:val="Compact"/>
              <w:jc w:val="left"/>
            </w:pPr>
            <w:r>
              <w:t xml:space="preserve">Q3 2024</w:t>
            </w:r>
          </w:p>
        </w:tc>
        <w:tc>
          <w:tcPr/>
          <w:p>
            <w:pPr>
              <w:pStyle w:val="Compact"/>
              <w:jc w:val="left"/>
            </w:pPr>
            <w:r>
              <w:t xml:space="preserve">Roll out "Wellness Pass" pricing; host first school health fair at Delft Primary.</w:t>
            </w:r>
          </w:p>
        </w:tc>
      </w:tr>
      <w:tr>
        <w:tc>
          <w:tcPr/>
          <w:p>
            <w:pPr>
              <w:pStyle w:val="Compact"/>
              <w:jc w:val="left"/>
            </w:pPr>
            <w:r>
              <w:t xml:space="preserve">Q4 2024</w:t>
            </w:r>
          </w:p>
        </w:tc>
        <w:tc>
          <w:tcPr/>
          <w:p>
            <w:pPr>
              <w:pStyle w:val="Compact"/>
              <w:jc w:val="left"/>
            </w:pPr>
            <w:r>
              <w:t xml:space="preserve">Analyze patient data to refine outreach; expand to 5 new community centers.</w:t>
            </w:r>
          </w:p>
        </w:tc>
      </w:tr>
    </w:tbl>
    <w:bookmarkEnd w:id="29"/>
    <w:bookmarkStart w:id="30" w:name="evaluation-metrics"/>
    <w:p>
      <w:pPr>
        <w:pStyle w:val="Heading2"/>
      </w:pPr>
      <w:r>
        <w:t xml:space="preserve">Evaluation Metrics</w:t>
      </w:r>
    </w:p>
    <w:p>
      <w:pPr>
        <w:pStyle w:val="FirstParagraph"/>
      </w:pPr>
      <w:r>
        <w:t xml:space="preserve">Success is measured through Cape Town-specific KPIs:</w:t>
      </w:r>
    </w:p>
    <w:p>
      <w:pPr>
        <w:numPr>
          <w:ilvl w:val="0"/>
          <w:numId w:val="1007"/>
        </w:numPr>
        <w:pStyle w:val="Compact"/>
      </w:pPr>
      <w:r>
        <w:rPr>
          <w:bCs/>
          <w:b/>
        </w:rPr>
        <w:t xml:space="preserve">Local Engagement Rate:</w:t>
      </w:r>
      <w:r>
        <w:t xml:space="preserve"> </w:t>
      </w:r>
      <w:r>
        <w:t xml:space="preserve">% of patients from target areas (e.g., 40% from Cape Flats).</w:t>
      </w:r>
    </w:p>
    <w:p>
      <w:pPr>
        <w:numPr>
          <w:ilvl w:val="0"/>
          <w:numId w:val="1007"/>
        </w:numPr>
        <w:pStyle w:val="Compact"/>
      </w:pPr>
      <w:r>
        <w:rPr>
          <w:bCs/>
          <w:b/>
        </w:rPr>
        <w:t xml:space="preserve">Community Trust Index:</w:t>
      </w:r>
      <w:r>
        <w:t xml:space="preserve"> </w:t>
      </w:r>
      <w:r>
        <w:t xml:space="preserve">Quarterly surveys assessing "Would you recommend this Doctor General Practitioner to friends?"</w:t>
      </w:r>
    </w:p>
    <w:p>
      <w:pPr>
        <w:numPr>
          <w:ilvl w:val="0"/>
          <w:numId w:val="1007"/>
        </w:numPr>
        <w:pStyle w:val="Compact"/>
      </w:pPr>
      <w:r>
        <w:rPr>
          <w:bCs/>
          <w:b/>
        </w:rPr>
        <w:t xml:space="preserve">Coverage Impact:</w:t>
      </w:r>
      <w:r>
        <w:t xml:space="preserve"> </w:t>
      </w:r>
      <w:r>
        <w:t xml:space="preserve">Reduction in clinic wait times for target communities (vs. public clinics’ average 3-hour waits).</w:t>
      </w:r>
    </w:p>
    <w:bookmarkEnd w:id="30"/>
    <w:bookmarkStart w:id="31" w:name="X08f3ffa7979c1880caebd00a27b911086a6bb46"/>
    <w:p>
      <w:pPr>
        <w:pStyle w:val="Heading2"/>
      </w:pPr>
      <w:r>
        <w:t xml:space="preserve">Conclusion: Why This Plan Wins in Cape Town</w:t>
      </w:r>
    </w:p>
    <w:p>
      <w:pPr>
        <w:pStyle w:val="FirstParagraph"/>
      </w:pPr>
      <w:r>
        <w:t xml:space="preserve">This Marketing Plan isn’t generic—it’s engineered for the realities of South Africa Cape Town. By centering the Doctor General Practitioner practice on community trust, not just transactions, we’ll transform healthcare access where it matters most. Unlike competitors who treat clinics as transactional hubs, our strategy makes healthcare feel like a neighborhood service: delivered at Langa bus stops, understood through cultural humility, and priced for Cape Town’s economic spectrum. In a city where 53% of residents skip care due to cost (National Health Research Report), this plan doesn’t just market a practice—it builds health equity. The Doctor General Practitioner in South Africa Cape Town won’t be another clinic; it will become the heartbeat of community wellness.</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South Africa Cape Town</dc:title>
  <dc:creator/>
  <dc:language>en</dc:language>
  <cp:keywords/>
  <dcterms:created xsi:type="dcterms:W3CDTF">2025-12-15T22:45:35Z</dcterms:created>
  <dcterms:modified xsi:type="dcterms:W3CDTF">2025-12-15T22:45:35Z</dcterms:modified>
</cp:coreProperties>
</file>

<file path=docProps/custom.xml><?xml version="1.0" encoding="utf-8"?>
<Properties xmlns="http://schemas.openxmlformats.org/officeDocument/2006/custom-properties" xmlns:vt="http://schemas.openxmlformats.org/officeDocument/2006/docPropsVTypes"/>
</file>