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bookmarkStart w:id="33" w:name="X0d76f9b4971e70e8b6201f09bb5191e0c34a10b"/>
    <w:p>
      <w:pPr>
        <w:pStyle w:val="Heading1"/>
      </w:pPr>
      <w:r>
        <w:t xml:space="preserve">Comprehensive Marketing Plan for a Doctor General Practitioner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within the competitive healthcare landscape of Turkey Istanbul. Targeting both local residents and expatriate communities, this plan leverages Istanbul's unique demographic dynamics—boasting over 15 million inhabitants, rising health consciousness, and increasing demand for accessible primary care. Our goal is to position the Doctor General Practitioner as the trusted first point of contact for holistic family healthcare in Istanbul, achieving 30% market penetration within three years through culturally resonant digital engagement and community partnerships.</w:t>
      </w:r>
    </w:p>
    <w:bookmarkEnd w:id="20"/>
    <w:bookmarkStart w:id="22" w:name="X90369bf502f7877ff3dd062ec657511805415cd"/>
    <w:p>
      <w:pPr>
        <w:pStyle w:val="Heading2"/>
      </w:pPr>
      <w:r>
        <w:t xml:space="preserve">Situation Analysis: Turkey Istanbul Healthcare Context</w:t>
      </w:r>
    </w:p>
    <w:p>
      <w:pPr>
        <w:pStyle w:val="FirstParagraph"/>
      </w:pPr>
      <w:r>
        <w:t xml:space="preserve">Istanbul's healthcare sector faces growing demand due to urbanization, aging population (15.6% over 65), and rising chronic conditions like diabetes (18.3% prevalence). While private clinics dominate, a gap exists for culturally attuned, English-fluent General Practitioners serving Turkey Istanbul's diverse population. Competitors often lack personalized care—only 22% of Istanbul GP practices offer telemedicine or multilingual support (Turkish Ministry of Health, 2023). This presents a critical opportunity for our Doctor General Practitioner to differentiate through patient-centered service in the heart of Turkey Istanbul.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Bilingual (Turkish/English) Doctor General Practitioner, modern clinic facilities, integrated digital health platform</w:t>
      </w:r>
    </w:p>
    <w:p>
      <w:pPr>
        <w:numPr>
          <w:ilvl w:val="0"/>
          <w:numId w:val="1001"/>
        </w:numPr>
        <w:pStyle w:val="Compact"/>
      </w:pPr>
      <w:r>
        <w:rPr>
          <w:bCs/>
          <w:b/>
        </w:rPr>
        <w:t xml:space="preserve">Weaknesses:</w:t>
      </w:r>
      <w:r>
        <w:t xml:space="preserve"> </w:t>
      </w:r>
      <w:r>
        <w:t xml:space="preserve">New brand presence in Istanbul market; limited referral network establishment</w:t>
      </w:r>
    </w:p>
    <w:p>
      <w:pPr>
        <w:numPr>
          <w:ilvl w:val="0"/>
          <w:numId w:val="1001"/>
        </w:numPr>
        <w:pStyle w:val="Compact"/>
      </w:pPr>
      <w:r>
        <w:rPr>
          <w:bCs/>
          <w:b/>
        </w:rPr>
        <w:t xml:space="preserve">Opportunities:</w:t>
      </w:r>
      <w:r>
        <w:t xml:space="preserve"> </w:t>
      </w:r>
      <w:r>
        <w:t xml:space="preserve">Government telehealth incentives in Turkey Istanbul (2024 budget: $18M), rising expat population (7% YoY growth)</w:t>
      </w:r>
    </w:p>
    <w:p>
      <w:pPr>
        <w:numPr>
          <w:ilvl w:val="0"/>
          <w:numId w:val="1001"/>
        </w:numPr>
        <w:pStyle w:val="Compact"/>
      </w:pPr>
      <w:r>
        <w:rPr>
          <w:bCs/>
          <w:b/>
        </w:rPr>
        <w:t xml:space="preserve">Threats:</w:t>
      </w:r>
      <w:r>
        <w:t xml:space="preserve"> </w:t>
      </w:r>
      <w:r>
        <w:t xml:space="preserve">Price sensitivity among locals, potential regulatory changes to private healthcare pricing</w:t>
      </w:r>
    </w:p>
    <w:bookmarkEnd w:id="21"/>
    <w:bookmarkEnd w:id="22"/>
    <w:bookmarkStart w:id="23" w:name="target-audience-segmentation"/>
    <w:p>
      <w:pPr>
        <w:pStyle w:val="Heading2"/>
      </w:pPr>
      <w:r>
        <w:t xml:space="preserve">Target Audience Segmentation</w:t>
      </w:r>
    </w:p>
    <w:p>
      <w:pPr>
        <w:pStyle w:val="FirstParagraph"/>
      </w:pPr>
      <w:r>
        <w:t xml:space="preserve">We segment into three core groups for the Doctor General Practitioner practice in Turkey Istanbul:</w:t>
      </w:r>
    </w:p>
    <w:p>
      <w:pPr>
        <w:numPr>
          <w:ilvl w:val="0"/>
          <w:numId w:val="1002"/>
        </w:numPr>
        <w:pStyle w:val="Compact"/>
      </w:pPr>
      <w:r>
        <w:rPr>
          <w:bCs/>
          <w:b/>
        </w:rPr>
        <w:t xml:space="preserve">Local Families (65% of target):</w:t>
      </w:r>
      <w:r>
        <w:t xml:space="preserve"> </w:t>
      </w:r>
      <w:r>
        <w:t xml:space="preserve">Middle-to-upper-income residents aged 30-55 in neighborhoods like Beşiktaş, Kadıköy. Prioritize cultural familiarity, affordable rates (Turkish Lira), and family continuity.</w:t>
      </w:r>
    </w:p>
    <w:p>
      <w:pPr>
        <w:numPr>
          <w:ilvl w:val="0"/>
          <w:numId w:val="1002"/>
        </w:numPr>
        <w:pStyle w:val="Compact"/>
      </w:pPr>
      <w:r>
        <w:rPr>
          <w:bCs/>
          <w:b/>
        </w:rPr>
        <w:t xml:space="preserve">Expatriate Community (25%):</w:t>
      </w:r>
      <w:r>
        <w:t xml:space="preserve"> </w:t>
      </w:r>
      <w:r>
        <w:t xml:space="preserve">International professionals/retirees in Nişantaşı, Levent. Demand English-speaking care, insurance navigation, and Western medical protocols.</w:t>
      </w:r>
    </w:p>
    <w:p>
      <w:pPr>
        <w:numPr>
          <w:ilvl w:val="0"/>
          <w:numId w:val="1002"/>
        </w:numPr>
        <w:pStyle w:val="Compact"/>
      </w:pPr>
      <w:r>
        <w:rPr>
          <w:bCs/>
          <w:b/>
        </w:rPr>
        <w:t xml:space="preserve">Sports/Corporate Partnerships (10%):</w:t>
      </w:r>
      <w:r>
        <w:t xml:space="preserve"> </w:t>
      </w:r>
      <w:r>
        <w:t xml:space="preserve">Local businesses (e.g., Taksim-based startups) for employee wellness programs; athletic clubs requiring injury assessments.</w:t>
      </w:r>
    </w:p>
    <w:bookmarkEnd w:id="23"/>
    <w:bookmarkStart w:id="24" w:name="marketing-objectives"/>
    <w:p>
      <w:pPr>
        <w:pStyle w:val="Heading2"/>
      </w:pPr>
      <w:r>
        <w:t xml:space="preserve">Marketing Objectives</w:t>
      </w:r>
    </w:p>
    <w:p>
      <w:pPr>
        <w:pStyle w:val="FirstParagraph"/>
      </w:pPr>
      <w:r>
        <w:t xml:space="preserve">Specific, measurable goals for the Doctor General Practitioner practice in Turkey Istanbul within 18 months:</w:t>
      </w:r>
    </w:p>
    <w:p>
      <w:pPr>
        <w:numPr>
          <w:ilvl w:val="0"/>
          <w:numId w:val="1003"/>
        </w:numPr>
        <w:pStyle w:val="Compact"/>
      </w:pPr>
      <w:r>
        <w:t xml:space="preserve">Achieve 500 active patient registrations (40% local families, 35% expats, 25% corporate)</w:t>
      </w:r>
    </w:p>
    <w:p>
      <w:pPr>
        <w:numPr>
          <w:ilvl w:val="0"/>
          <w:numId w:val="1003"/>
        </w:numPr>
        <w:pStyle w:val="Compact"/>
      </w:pPr>
      <w:r>
        <w:t xml:space="preserve">Secure partnerships with 12 major corporations for employee health programs</w:t>
      </w:r>
    </w:p>
    <w:p>
      <w:pPr>
        <w:numPr>
          <w:ilvl w:val="0"/>
          <w:numId w:val="1003"/>
        </w:numPr>
        <w:pStyle w:val="Compact"/>
      </w:pPr>
      <w:r>
        <w:t xml:space="preserve">Attain 4.8/5 average online rating across Google and HealthPoint platforms</w:t>
      </w:r>
    </w:p>
    <w:p>
      <w:pPr>
        <w:numPr>
          <w:ilvl w:val="0"/>
          <w:numId w:val="1003"/>
        </w:numPr>
        <w:pStyle w:val="Compact"/>
      </w:pPr>
      <w:r>
        <w:t xml:space="preserve">Generate 30% of new patients via digital channels (vs. industry average: 18%)</w:t>
      </w:r>
    </w:p>
    <w:bookmarkEnd w:id="24"/>
    <w:bookmarkStart w:id="28" w:name="marketing-strategies-tactics"/>
    <w:p>
      <w:pPr>
        <w:pStyle w:val="Heading2"/>
      </w:pPr>
      <w:r>
        <w:t xml:space="preserve">Marketing Strategies &amp; Tactics</w:t>
      </w:r>
    </w:p>
    <w:bookmarkStart w:id="25" w:name="X821ab55533d2430654d2c2ff9be74a72aa46abd"/>
    <w:p>
      <w:pPr>
        <w:pStyle w:val="Heading3"/>
      </w:pPr>
      <w:r>
        <w:t xml:space="preserve">1. Digital-First Patient Acquisition (45% Budget Allocation)</w:t>
      </w:r>
    </w:p>
    <w:p>
      <w:pPr>
        <w:pStyle w:val="FirstParagraph"/>
      </w:pPr>
      <w:r>
        <w:t xml:space="preserve">The core strategy for the Doctor General Practitioner in Turkey Istanbul focuses on hyper-localized digital engagement:</w:t>
      </w:r>
    </w:p>
    <w:p>
      <w:pPr>
        <w:numPr>
          <w:ilvl w:val="0"/>
          <w:numId w:val="1004"/>
        </w:numPr>
        <w:pStyle w:val="Compact"/>
      </w:pPr>
      <w:r>
        <w:rPr>
          <w:bCs/>
          <w:b/>
        </w:rPr>
        <w:t xml:space="preserve">Turkish/English SEO &amp; Content:</w:t>
      </w:r>
      <w:r>
        <w:t xml:space="preserve"> </w:t>
      </w:r>
      <w:r>
        <w:t xml:space="preserve">Optimize clinic website for keywords like "General Practitioner Istanbul," "English-speaking doctor Turkey," and location-specific terms ("Beşiktaş GP"). Publish culturally relevant content: "Managing Diabetes in Turkish Cuisine" (Turkish), "Navigating Turkey’s Health Insurance as an Expatriate" (English).</w:t>
      </w:r>
    </w:p>
    <w:p>
      <w:pPr>
        <w:numPr>
          <w:ilvl w:val="0"/>
          <w:numId w:val="1004"/>
        </w:numPr>
        <w:pStyle w:val="Compact"/>
      </w:pPr>
      <w:r>
        <w:rPr>
          <w:bCs/>
          <w:b/>
        </w:rPr>
        <w:t xml:space="preserve">Targeted Social Ads:</w:t>
      </w:r>
      <w:r>
        <w:t xml:space="preserve"> </w:t>
      </w:r>
      <w:r>
        <w:t xml:space="preserve">Facebook/Instagram campaigns geo-fenced to Istanbul neighborhoods, showcasing real patient testimonials with Turkish subtitles and English captions. Focus on symptoms like "seasonal allergies in Istanbul's climate."</w:t>
      </w:r>
    </w:p>
    <w:p>
      <w:pPr>
        <w:numPr>
          <w:ilvl w:val="0"/>
          <w:numId w:val="1004"/>
        </w:numPr>
        <w:pStyle w:val="Compact"/>
      </w:pPr>
      <w:r>
        <w:rPr>
          <w:bCs/>
          <w:b/>
        </w:rPr>
        <w:t xml:space="preserve">Telehealth Integration:</w:t>
      </w:r>
      <w:r>
        <w:t xml:space="preserve"> </w:t>
      </w:r>
      <w:r>
        <w:t xml:space="preserve">Offer instant video consultations via clinic app—critical for expats avoiding language barriers. Partner with Turkey’s e-Health system for seamless record access.</w:t>
      </w:r>
    </w:p>
    <w:bookmarkEnd w:id="25"/>
    <w:bookmarkStart w:id="26" w:name="X9e8c8c50dbcf85df32285e285ea30631de0839b"/>
    <w:p>
      <w:pPr>
        <w:pStyle w:val="Heading3"/>
      </w:pPr>
      <w:r>
        <w:t xml:space="preserve">2. Community Trust Building (30% Budget Allocation)</w:t>
      </w:r>
    </w:p>
    <w:p>
      <w:pPr>
        <w:pStyle w:val="FirstParagraph"/>
      </w:pPr>
      <w:r>
        <w:t xml:space="preserve">Leveraging Istanbul’s communal culture to position the Doctor General Practitioner as a neighborhood cornerstone:</w:t>
      </w:r>
    </w:p>
    <w:p>
      <w:pPr>
        <w:numPr>
          <w:ilvl w:val="0"/>
          <w:numId w:val="1005"/>
        </w:numPr>
        <w:pStyle w:val="Compact"/>
      </w:pPr>
      <w:r>
        <w:rPr>
          <w:bCs/>
          <w:b/>
        </w:rPr>
        <w:t xml:space="preserve">Free Health Workshops:</w:t>
      </w:r>
      <w:r>
        <w:t xml:space="preserve"> </w:t>
      </w:r>
      <w:r>
        <w:t xml:space="preserve">Host monthly sessions at local community centers (e.g., "Preventing Hypertension in Istanbul’s Urban Lifestyle") co-sponsored with Turkish NGOs like Türkiye Diabet Derneği.</w:t>
      </w:r>
    </w:p>
    <w:p>
      <w:pPr>
        <w:numPr>
          <w:ilvl w:val="0"/>
          <w:numId w:val="1005"/>
        </w:numPr>
        <w:pStyle w:val="Compact"/>
      </w:pPr>
      <w:r>
        <w:rPr>
          <w:bCs/>
          <w:b/>
        </w:rPr>
        <w:t xml:space="preserve">Corporate Wellness Partnerships:</w:t>
      </w:r>
      <w:r>
        <w:t xml:space="preserve"> </w:t>
      </w:r>
      <w:r>
        <w:t xml:space="preserve">Offer discounted group check-ups to Istanbul-based companies (e.g., PTT, local startups). Include health screenings during work hours—reducing patient absenteeism.</w:t>
      </w:r>
    </w:p>
    <w:p>
      <w:pPr>
        <w:numPr>
          <w:ilvl w:val="0"/>
          <w:numId w:val="1005"/>
        </w:numPr>
        <w:pStyle w:val="Compact"/>
      </w:pPr>
      <w:r>
        <w:rPr>
          <w:bCs/>
          <w:b/>
        </w:rPr>
        <w:t xml:space="preserve">Referral Program:</w:t>
      </w:r>
      <w:r>
        <w:t xml:space="preserve"> </w:t>
      </w:r>
      <w:r>
        <w:t xml:space="preserve">Incentivize existing patients with discount vouchers for referring new patients (e.g., 15% off next visit).</w:t>
      </w:r>
    </w:p>
    <w:bookmarkEnd w:id="26"/>
    <w:bookmarkStart w:id="27" w:name="Xb2b3609f84c78243b1f6aef4dbeae48147f812c"/>
    <w:p>
      <w:pPr>
        <w:pStyle w:val="Heading3"/>
      </w:pPr>
      <w:r>
        <w:t xml:space="preserve">3. Differentiated Patient Experience (25% Budget Allocation)</w:t>
      </w:r>
    </w:p>
    <w:p>
      <w:pPr>
        <w:pStyle w:val="FirstParagraph"/>
      </w:pPr>
      <w:r>
        <w:t xml:space="preserve">Moving beyond standard care to create memorable interactions for the Doctor General Practitioner in Turkey Istanbul:</w:t>
      </w:r>
    </w:p>
    <w:p>
      <w:pPr>
        <w:numPr>
          <w:ilvl w:val="0"/>
          <w:numId w:val="1006"/>
        </w:numPr>
        <w:pStyle w:val="Compact"/>
      </w:pPr>
      <w:r>
        <w:rPr>
          <w:bCs/>
          <w:b/>
        </w:rPr>
        <w:t xml:space="preserve">Cultural Sensitivity Training:</w:t>
      </w:r>
      <w:r>
        <w:t xml:space="preserve"> </w:t>
      </w:r>
      <w:r>
        <w:t xml:space="preserve">All staff trained on Turkish healthcare norms (e.g., modesty preferences, family involvement in decisions) and expat expectations.</w:t>
      </w:r>
    </w:p>
    <w:p>
      <w:pPr>
        <w:numPr>
          <w:ilvl w:val="0"/>
          <w:numId w:val="1006"/>
        </w:numPr>
        <w:pStyle w:val="Compact"/>
      </w:pPr>
      <w:r>
        <w:rPr>
          <w:bCs/>
          <w:b/>
        </w:rPr>
        <w:t xml:space="preserve">Personalized Care Journeys:</w:t>
      </w:r>
      <w:r>
        <w:t xml:space="preserve"> </w:t>
      </w:r>
      <w:r>
        <w:t xml:space="preserve">Digital patient profiles tracking cultural preferences (e.g., "Avoids red meat," "Prefers morning appointments"). Integrated with Turkey’s national health ID system.</w:t>
      </w:r>
    </w:p>
    <w:p>
      <w:pPr>
        <w:numPr>
          <w:ilvl w:val="0"/>
          <w:numId w:val="1006"/>
        </w:numPr>
        <w:pStyle w:val="Compact"/>
      </w:pPr>
      <w:r>
        <w:rPr>
          <w:bCs/>
          <w:b/>
        </w:rPr>
        <w:t xml:space="preserve">Post-Visit Engagement:</w:t>
      </w:r>
      <w:r>
        <w:t xml:space="preserve"> </w:t>
      </w:r>
      <w:r>
        <w:t xml:space="preserve">Automated WhatsApp follow-ups in Turkish/English for medication adherence, reducing readmissions by 20% (per pilot data).</w:t>
      </w:r>
    </w:p>
    <w:bookmarkEnd w:id="27"/>
    <w:bookmarkEnd w:id="28"/>
    <w:bookmarkStart w:id="29" w:name="budget-allocation-overview"/>
    <w:p>
      <w:pPr>
        <w:pStyle w:val="Heading2"/>
      </w:pPr>
      <w:r>
        <w:t xml:space="preserve">Budget Allocation Overview</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Marketing &amp; SEO</w:t>
      </w:r>
    </w:p>
    <w:p>
      <w:pPr>
        <w:pStyle w:val="BodyText"/>
      </w:pPr>
      <w:r>
        <w:t xml:space="preserve">%45</w:t>
      </w:r>
    </w:p>
    <w:p>
      <w:pPr>
        <w:pStyle w:val="BodyText"/>
      </w:pPr>
      <w:r>
        <w:t xml:space="preserve">Patient acquisition cost (target: $28), website conversion rate (target: 12%)</w:t>
      </w:r>
    </w:p>
    <w:p>
      <w:pPr>
        <w:pStyle w:val="BodyText"/>
      </w:pPr>
      <w:r>
        <w:t xml:space="preserve">Community Outreach</w:t>
      </w:r>
    </w:p>
    <w:p>
      <w:pPr>
        <w:pStyle w:val="BodyText"/>
      </w:pPr>
      <w:r>
        <w:t xml:space="preserve">%30</w:t>
      </w:r>
    </w:p>
    <w:p>
      <w:pPr>
        <w:pStyle w:val="BodyText"/>
      </w:pPr>
      <w:r>
        <w:t xml:space="preserve">Corporate partnership signings, workshop attendance rates</w:t>
      </w:r>
    </w:p>
    <w:p>
      <w:pPr>
        <w:pStyle w:val="BodyText"/>
      </w:pPr>
      <w:r>
        <w:t xml:space="preserve">Patient Experience Enhancements</w:t>
      </w:r>
    </w:p>
    <w:p>
      <w:pPr>
        <w:pStyle w:val="BodyText"/>
      </w:pPr>
      <w:r>
        <w:t xml:space="preserve">%25</w:t>
      </w:r>
    </w:p>
    <w:p>
      <w:pPr>
        <w:pStyle w:val="BodyText"/>
      </w:pPr>
      <w:r>
        <w:t xml:space="preserve">Patient satisfaction (target: 92%), retention rate (target: 70%)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branding finalization, website SEO setup, and first community workshop in Kadıköy. Establish partnerships with two corporations.</w:t>
      </w:r>
    </w:p>
    <w:p>
      <w:pPr>
        <w:pStyle w:val="BodyText"/>
      </w:pPr>
      <w:r>
        <w:rPr>
          <w:bCs/>
          <w:b/>
        </w:rPr>
        <w:t xml:space="preserve">Months 4-6:</w:t>
      </w:r>
      <w:r>
        <w:t xml:space="preserve"> </w:t>
      </w:r>
      <w:r>
        <w:t xml:space="preserve">Launch telehealth app; deploy targeted social ads. Host "Istanbul Health Fest" at Taksim Square for brand visibility.</w:t>
      </w:r>
    </w:p>
    <w:p>
      <w:pPr>
        <w:pStyle w:val="BodyText"/>
      </w:pPr>
      <w:r>
        <w:rPr>
          <w:bCs/>
          <w:b/>
        </w:rPr>
        <w:t xml:space="preserve">Months 7-12:</w:t>
      </w:r>
      <w:r>
        <w:t xml:space="preserve"> </w:t>
      </w:r>
      <w:r>
        <w:t xml:space="preserve">Scale corporate partnerships to 8 companies; implement cultural sensitivity training. Achieve first-year patient acquisition targets.</w:t>
      </w:r>
    </w:p>
    <w:bookmarkEnd w:id="30"/>
    <w:bookmarkStart w:id="31" w:name="evaluation-control"/>
    <w:p>
      <w:pPr>
        <w:pStyle w:val="Heading2"/>
      </w:pPr>
      <w:r>
        <w:t xml:space="preserve">Evaluation &amp; Control</w:t>
      </w:r>
    </w:p>
    <w:p>
      <w:pPr>
        <w:pStyle w:val="FirstParagraph"/>
      </w:pPr>
      <w:r>
        <w:t xml:space="preserve">Success will be measured monthly using Turkey Istanbul-specific KPIs:</w:t>
      </w:r>
    </w:p>
    <w:p>
      <w:pPr>
        <w:numPr>
          <w:ilvl w:val="0"/>
          <w:numId w:val="1007"/>
        </w:numPr>
        <w:pStyle w:val="Compact"/>
      </w:pPr>
      <w:r>
        <w:rPr>
          <w:bCs/>
          <w:b/>
        </w:rPr>
        <w:t xml:space="preserve">Patient Acquisition Cost (PAC):</w:t>
      </w:r>
      <w:r>
        <w:t xml:space="preserve"> </w:t>
      </w:r>
      <w:r>
        <w:t xml:space="preserve">Track against Istanbul’s private GP average ($41). Target: Below $30 by Month 6.</w:t>
      </w:r>
    </w:p>
    <w:p>
      <w:pPr>
        <w:numPr>
          <w:ilvl w:val="0"/>
          <w:numId w:val="1007"/>
        </w:numPr>
        <w:pStyle w:val="Compact"/>
      </w:pPr>
      <w:r>
        <w:rPr>
          <w:bCs/>
          <w:b/>
        </w:rPr>
        <w:t xml:space="preserve">Cultural Fit Score:</w:t>
      </w:r>
      <w:r>
        <w:t xml:space="preserve"> </w:t>
      </w:r>
      <w:r>
        <w:t xml:space="preserve">Patient surveys rating "Understanding of Turkish lifestyle" (Target: 4.7/5).</w:t>
      </w:r>
    </w:p>
    <w:p>
      <w:pPr>
        <w:numPr>
          <w:ilvl w:val="0"/>
          <w:numId w:val="1007"/>
        </w:numPr>
        <w:pStyle w:val="Compact"/>
      </w:pPr>
      <w:r>
        <w:rPr>
          <w:bCs/>
          <w:b/>
        </w:rPr>
        <w:t xml:space="preserve">Referral Rate:</w:t>
      </w:r>
      <w:r>
        <w:t xml:space="preserve"> </w:t>
      </w:r>
      <w:r>
        <w:t xml:space="preserve">Monitor word-of-mouth growth from community initiatives (Target: 25% of new patients by Month 9).</w:t>
      </w:r>
    </w:p>
    <w:bookmarkEnd w:id="31"/>
    <w:bookmarkStart w:id="32" w:name="conclusion"/>
    <w:p>
      <w:pPr>
        <w:pStyle w:val="Heading2"/>
      </w:pPr>
      <w:r>
        <w:t xml:space="preserve">Conclusion</w:t>
      </w:r>
    </w:p>
    <w:p>
      <w:pPr>
        <w:pStyle w:val="FirstParagraph"/>
      </w:pPr>
      <w:r>
        <w:t xml:space="preserve">This Marketing Plan positions the Doctor General Practitioner not merely as a clinic, but as an indispensable pillar of health for Turkey Istanbul’s evolving communities. By fusing digital innovation with cultural intelligence, we transcend conventional medical marketing to build enduring trust. In a city where healthcare is deeply personal and community-driven, our strategy ensures the Doctor General Practitioner becomes synonymous with compassionate, accessible care—proving that in the heart of Turkey Istanbul, health belongs to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Turkey Istanbul</dc:title>
  <dc:creator/>
  <dc:language>en</dc:language>
  <cp:keywords/>
  <dcterms:created xsi:type="dcterms:W3CDTF">2026-07-23T05:37:08Z</dcterms:created>
  <dcterms:modified xsi:type="dcterms:W3CDTF">2026-07-23T05:37:08Z</dcterms:modified>
</cp:coreProperties>
</file>

<file path=docProps/custom.xml><?xml version="1.0" encoding="utf-8"?>
<Properties xmlns="http://schemas.openxmlformats.org/officeDocument/2006/custom-properties" xmlns:vt="http://schemas.openxmlformats.org/officeDocument/2006/docPropsVTypes"/>
</file>