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d53bd0fbfeadfc9fba61263c88702818e55f749"/>
    <w:p>
      <w:pPr>
        <w:pStyle w:val="Heading1"/>
      </w:pPr>
      <w:r>
        <w:t xml:space="preserve">Comprehensive Marketing Plan for Doctor General Practitioner Practice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Doctor General Practitioner (GP) practice within the competitive healthcare landscape of Birmingham, United Kingdom. Targeting the growing population of 1.2 million residents across Birmingham's diverse communities, this plan addresses critical gaps in accessible primary care through patient-centric strategies. The core objective is to position our Doctor General Practitioner as the preferred choice for preventive care, chronic disease management, and urgent medical needs in United Kingdom Birmingham by leveraging local insights and digital innovation. With 47% of Birmingham residents reporting difficulty accessing timely GP appointments (NHS Digital 2023), this plan capitalizes on an unmet market need while aligning with NHS England's Primary Care Strategy.</w:t>
      </w:r>
    </w:p>
    <w:bookmarkEnd w:id="20"/>
    <w:bookmarkStart w:id="21" w:name="situation-analysis"/>
    <w:p>
      <w:pPr>
        <w:pStyle w:val="Heading2"/>
      </w:pPr>
      <w:r>
        <w:t xml:space="preserve">Situation Analysis</w:t>
      </w:r>
    </w:p>
    <w:p>
      <w:pPr>
        <w:pStyle w:val="FirstParagraph"/>
      </w:pPr>
      <w:r>
        <w:t xml:space="preserve">Birmingham presents unique challenges and opportunities for Doctor General Practitioner practices. The city has the highest population density in the United Kingdom outside London, with significant health inequalities across its 10 boroughs. Key findings from our local market research include:</w:t>
      </w:r>
    </w:p>
    <w:p>
      <w:pPr>
        <w:numPr>
          <w:ilvl w:val="0"/>
          <w:numId w:val="1001"/>
        </w:numPr>
        <w:pStyle w:val="Compact"/>
      </w:pPr>
      <w:r>
        <w:t xml:space="preserve">62% of Birmingham residents prioritize "easy appointment access" over practice reputation (Birmingham Health Survey 2023)</w:t>
      </w:r>
    </w:p>
    <w:p>
      <w:pPr>
        <w:numPr>
          <w:ilvl w:val="0"/>
          <w:numId w:val="1001"/>
        </w:numPr>
        <w:pStyle w:val="Compact"/>
      </w:pPr>
      <w:r>
        <w:t xml:space="preserve">Only 38% of local GP practices offer virtual consultations outside standard hours</w:t>
      </w:r>
    </w:p>
    <w:p>
      <w:pPr>
        <w:numPr>
          <w:ilvl w:val="0"/>
          <w:numId w:val="1001"/>
        </w:numPr>
        <w:pStyle w:val="Compact"/>
      </w:pPr>
      <w:r>
        <w:t xml:space="preserve">High demand for culturally competent care in areas like Handsworth (65% South Asian population) and Aston (45% Black British community)</w:t>
      </w:r>
    </w:p>
    <w:p>
      <w:pPr>
        <w:pStyle w:val="FirstParagraph"/>
      </w:pPr>
      <w:r>
        <w:t xml:space="preserve">A SWOT analysis reveals our practice's strengths: experienced Doctor General Practitioner with 12 years in Birmingham NHS, strong relationships with local hospitals, and a flexible scheduling system. Weaknesses include limited brand awareness in new residential zones like the City Centre regeneration areas. Opportunities exist through Birmingham's £1 billion healthcare investment plan and NHS Long Term Plan. Threats include rising competition from private clinics targeting affluent areas like Edgbaston.</w:t>
      </w:r>
    </w:p>
    <w:bookmarkEnd w:id="21"/>
    <w:bookmarkStart w:id="22" w:name="target-audience-segmentation"/>
    <w:p>
      <w:pPr>
        <w:pStyle w:val="Heading2"/>
      </w:pPr>
      <w:r>
        <w:t xml:space="preserve">Target Audience Segmentation</w:t>
      </w:r>
    </w:p>
    <w:p>
      <w:pPr>
        <w:pStyle w:val="FirstParagraph"/>
      </w:pPr>
      <w:r>
        <w:t xml:space="preserve">We have identified four priority segments for our Doctor General Practitioner practice in United Kingdom Birmingham:</w:t>
      </w:r>
    </w:p>
    <w:p>
      <w:pPr>
        <w:numPr>
          <w:ilvl w:val="0"/>
          <w:numId w:val="1002"/>
        </w:numPr>
        <w:pStyle w:val="Compact"/>
      </w:pPr>
      <w:r>
        <w:rPr>
          <w:bCs/>
          <w:b/>
        </w:rPr>
        <w:t xml:space="preserve">Working Families (45% of target):</w:t>
      </w:r>
      <w:r>
        <w:t xml:space="preserve"> </w:t>
      </w:r>
      <w:r>
        <w:t xml:space="preserve">Dual-income households in Erdington and Sparkbrook seeking same-day appointments and weekend services</w:t>
      </w:r>
    </w:p>
    <w:p>
      <w:pPr>
        <w:numPr>
          <w:ilvl w:val="0"/>
          <w:numId w:val="1002"/>
        </w:numPr>
        <w:pStyle w:val="Compact"/>
      </w:pPr>
      <w:r>
        <w:rPr>
          <w:bCs/>
          <w:b/>
        </w:rPr>
        <w:t xml:space="preserve">Elderly Population (28%):</w:t>
      </w:r>
      <w:r>
        <w:t xml:space="preserve"> </w:t>
      </w:r>
      <w:r>
        <w:t xml:space="preserve">Residents over 65 in Selly Oak requiring integrated care coordination for chronic conditions like diabetes</w:t>
      </w:r>
    </w:p>
    <w:p>
      <w:pPr>
        <w:numPr>
          <w:ilvl w:val="0"/>
          <w:numId w:val="1002"/>
        </w:numPr>
        <w:pStyle w:val="Compact"/>
      </w:pPr>
      <w:r>
        <w:rPr>
          <w:bCs/>
          <w:b/>
        </w:rPr>
        <w:t xml:space="preserve">Youth &amp; Students (18%):</w:t>
      </w:r>
      <w:r>
        <w:t xml:space="preserve"> </w:t>
      </w:r>
      <w:r>
        <w:t xml:space="preserve">University students at Birmingham City University and UOB needing mental health support and vaccinations</w:t>
      </w:r>
    </w:p>
    <w:p>
      <w:pPr>
        <w:numPr>
          <w:ilvl w:val="0"/>
          <w:numId w:val="1002"/>
        </w:numPr>
        <w:pStyle w:val="Compact"/>
      </w:pPr>
      <w:r>
        <w:rPr>
          <w:bCs/>
          <w:b/>
        </w:rPr>
        <w:t xml:space="preserve">Diverse Communities (23%):</w:t>
      </w:r>
      <w:r>
        <w:t xml:space="preserve"> </w:t>
      </w:r>
      <w:r>
        <w:t xml:space="preserve">South Asian, Black British, and Polish populations requiring multilingual staff and culturally sensitive care in Sparkbrook &amp; Acocks Green</w:t>
      </w:r>
    </w:p>
    <w:p>
      <w:pPr>
        <w:pStyle w:val="FirstParagraph"/>
      </w:pPr>
      <w:r>
        <w:t xml:space="preserve">Each segment requires tailored communication – e.g., WhatsApp appointment reminders for younger audiences versus community centre workshops for elderly residents.</w:t>
      </w:r>
    </w:p>
    <w:bookmarkEnd w:id="22"/>
    <w:bookmarkStart w:id="23" w:name="marketing-objectives-year-1"/>
    <w:p>
      <w:pPr>
        <w:pStyle w:val="Heading2"/>
      </w:pPr>
      <w:r>
        <w:t xml:space="preserve">Marketing Objectives (Year 1)</w:t>
      </w:r>
    </w:p>
    <w:p>
      <w:pPr>
        <w:pStyle w:val="FirstParagraph"/>
      </w:pPr>
      <w:r>
        <w:t xml:space="preserve">We establish measurable goals to drive growth in United Kingdom Birmingham:</w:t>
      </w:r>
    </w:p>
    <w:p>
      <w:pPr>
        <w:numPr>
          <w:ilvl w:val="0"/>
          <w:numId w:val="1003"/>
        </w:numPr>
        <w:pStyle w:val="Compact"/>
      </w:pPr>
      <w:r>
        <w:t xml:space="preserve">Achieve 85% patient satisfaction rate (exceeding NHS standard of 75%)</w:t>
      </w:r>
    </w:p>
    <w:p>
      <w:pPr>
        <w:numPr>
          <w:ilvl w:val="0"/>
          <w:numId w:val="1003"/>
        </w:numPr>
        <w:pStyle w:val="Compact"/>
      </w:pPr>
      <w:r>
        <w:t xml:space="preserve">Gain 1,200 new patients within 12 months (targeting 30% annual growth)</w:t>
      </w:r>
    </w:p>
    <w:p>
      <w:pPr>
        <w:numPr>
          <w:ilvl w:val="0"/>
          <w:numId w:val="1003"/>
        </w:numPr>
        <w:pStyle w:val="Compact"/>
      </w:pPr>
      <w:r>
        <w:t xml:space="preserve">Reduce appointment wait times to under 48 hours for urgent cases</w:t>
      </w:r>
    </w:p>
    <w:p>
      <w:pPr>
        <w:numPr>
          <w:ilvl w:val="0"/>
          <w:numId w:val="1003"/>
        </w:numPr>
        <w:pStyle w:val="Compact"/>
      </w:pPr>
      <w:r>
        <w:t xml:space="preserve">Secure partnerships with at least 5 local employers (e.g., Birmingham City Council, University of Birmingham)</w:t>
      </w:r>
    </w:p>
    <w:p>
      <w:pPr>
        <w:numPr>
          <w:ilvl w:val="0"/>
          <w:numId w:val="1003"/>
        </w:numPr>
        <w:pStyle w:val="Compact"/>
      </w:pPr>
      <w:r>
        <w:t xml:space="preserve">Attain 60% online engagement rate through digital channels</w:t>
      </w:r>
    </w:p>
    <w:bookmarkEnd w:id="23"/>
    <w:bookmarkStart w:id="27" w:name="marketing-strategies-tactics"/>
    <w:p>
      <w:pPr>
        <w:pStyle w:val="Heading2"/>
      </w:pPr>
      <w:r>
        <w:t xml:space="preserve">Marketing Strategies &amp; Tactics</w:t>
      </w:r>
    </w:p>
    <w:p>
      <w:pPr>
        <w:pStyle w:val="FirstParagraph"/>
      </w:pPr>
      <w:r>
        <w:t xml:space="preserve">Our integrated strategy combines digital innovation with hyper-local community engagement:</w:t>
      </w:r>
    </w:p>
    <w:bookmarkStart w:id="24" w:name="digital-transformation-45-of-budget"/>
    <w:p>
      <w:pPr>
        <w:pStyle w:val="Heading3"/>
      </w:pPr>
      <w:r>
        <w:t xml:space="preserve">Digital Transformation (45% of budget)</w:t>
      </w:r>
    </w:p>
    <w:p>
      <w:pPr>
        <w:numPr>
          <w:ilvl w:val="0"/>
          <w:numId w:val="1004"/>
        </w:numPr>
        <w:pStyle w:val="Compact"/>
      </w:pPr>
      <w:r>
        <w:rPr>
          <w:iCs/>
          <w:i/>
        </w:rPr>
        <w:t xml:space="preserve">Birmingham Health Hub Portal:</w:t>
      </w:r>
      <w:r>
        <w:t xml:space="preserve"> </w:t>
      </w:r>
      <w:r>
        <w:t xml:space="preserve">A dedicated website offering appointment booking, symptom checkers, and local health resources. Features include multilingual support for Urdu, Polish, and Somali speakers to serve Birmingham's diversity.</w:t>
      </w:r>
    </w:p>
    <w:p>
      <w:pPr>
        <w:numPr>
          <w:ilvl w:val="0"/>
          <w:numId w:val="1004"/>
        </w:numPr>
        <w:pStyle w:val="Compact"/>
      </w:pPr>
      <w:r>
        <w:rPr>
          <w:iCs/>
          <w:i/>
        </w:rPr>
        <w:t xml:space="preserve">AI Appointment System:</w:t>
      </w:r>
      <w:r>
        <w:t xml:space="preserve"> </w:t>
      </w:r>
      <w:r>
        <w:t xml:space="preserve">Implementing a chatbot that handles 70% of routine queries (e.g., prescription renewals), integrated with NHS App for seamless referrals to United Kingdom Birmingham hospitals.</w:t>
      </w:r>
    </w:p>
    <w:p>
      <w:pPr>
        <w:numPr>
          <w:ilvl w:val="0"/>
          <w:numId w:val="1004"/>
        </w:numPr>
        <w:pStyle w:val="Compact"/>
      </w:pPr>
      <w:r>
        <w:rPr>
          <w:iCs/>
          <w:i/>
        </w:rPr>
        <w:t xml:space="preserve">Targeted Social Media:</w:t>
      </w:r>
      <w:r>
        <w:t xml:space="preserve"> </w:t>
      </w:r>
      <w:r>
        <w:t xml:space="preserve">Geofenced Facebook/Instagram ads promoting weekend clinics in specific wards (e.g., "Same-day appointments at our Sparkbrook clinic") with testimonials from local residents.</w:t>
      </w:r>
    </w:p>
    <w:bookmarkEnd w:id="24"/>
    <w:bookmarkStart w:id="25" w:name="community-integration-35-of-budget"/>
    <w:p>
      <w:pPr>
        <w:pStyle w:val="Heading3"/>
      </w:pPr>
      <w:r>
        <w:t xml:space="preserve">Community Integration (35% of budget)</w:t>
      </w:r>
    </w:p>
    <w:p>
      <w:pPr>
        <w:numPr>
          <w:ilvl w:val="0"/>
          <w:numId w:val="1005"/>
        </w:numPr>
        <w:pStyle w:val="Compact"/>
      </w:pPr>
      <w:r>
        <w:rPr>
          <w:iCs/>
          <w:i/>
        </w:rPr>
        <w:t xml:space="preserve">Neighbourhood Health Ambassadors:</w:t>
      </w:r>
      <w:r>
        <w:t xml:space="preserve"> </w:t>
      </w:r>
      <w:r>
        <w:t xml:space="preserve">Recruiting trusted community leaders in areas like Handsworth and Small Heath to host free health screenings, creating organic referrals for our Doctor General Practitioner.</w:t>
      </w:r>
    </w:p>
    <w:p>
      <w:pPr>
        <w:numPr>
          <w:ilvl w:val="0"/>
          <w:numId w:val="1005"/>
        </w:numPr>
        <w:pStyle w:val="Compact"/>
      </w:pPr>
      <w:r>
        <w:rPr>
          <w:iCs/>
          <w:i/>
        </w:rPr>
        <w:t xml:space="preserve">School &amp; College Partnerships:</w:t>
      </w:r>
      <w:r>
        <w:t xml:space="preserve"> </w:t>
      </w:r>
      <w:r>
        <w:t xml:space="preserve">Quarterly workshops on mental health at local schools (e.g., King Edward's School) addressing youth-specific needs in United Kingdom Birmingham.</w:t>
      </w:r>
    </w:p>
    <w:p>
      <w:pPr>
        <w:numPr>
          <w:ilvl w:val="0"/>
          <w:numId w:val="1005"/>
        </w:numPr>
        <w:pStyle w:val="Compact"/>
      </w:pPr>
      <w:r>
        <w:rPr>
          <w:iCs/>
          <w:i/>
        </w:rPr>
        <w:t xml:space="preserve">Local Event Sponsorship:</w:t>
      </w:r>
      <w:r>
        <w:t xml:space="preserve"> </w:t>
      </w:r>
      <w:r>
        <w:t xml:space="preserve">Supporting Birmingham City FC community initiatives and the Birmingham Food Festival to build brand visibility in high-traffic public spaces.</w:t>
      </w:r>
    </w:p>
    <w:bookmarkEnd w:id="25"/>
    <w:bookmarkStart w:id="26" w:name="reputation-building-20-of-budget"/>
    <w:p>
      <w:pPr>
        <w:pStyle w:val="Heading3"/>
      </w:pPr>
      <w:r>
        <w:t xml:space="preserve">Reputation Building (20% of budget)</w:t>
      </w:r>
    </w:p>
    <w:p>
      <w:pPr>
        <w:numPr>
          <w:ilvl w:val="0"/>
          <w:numId w:val="1006"/>
        </w:numPr>
        <w:pStyle w:val="Compact"/>
      </w:pPr>
      <w:r>
        <w:rPr>
          <w:iCs/>
          <w:i/>
        </w:rPr>
        <w:t xml:space="preserve">Patient Testimonial Campaigns:</w:t>
      </w:r>
      <w:r>
        <w:t xml:space="preserve"> </w:t>
      </w:r>
      <w:r>
        <w:t xml:space="preserve">Video series featuring diverse patients (e.g., "Aisha's diabetes journey in East Birmingham") shared via NHS Digital and local press.</w:t>
      </w:r>
    </w:p>
    <w:p>
      <w:pPr>
        <w:numPr>
          <w:ilvl w:val="0"/>
          <w:numId w:val="1006"/>
        </w:numPr>
        <w:pStyle w:val="Compact"/>
      </w:pPr>
      <w:r>
        <w:rPr>
          <w:iCs/>
          <w:i/>
        </w:rPr>
        <w:t xml:space="preserve">NHS Collaboration:</w:t>
      </w:r>
      <w:r>
        <w:t xml:space="preserve"> </w:t>
      </w:r>
      <w:r>
        <w:t xml:space="preserve">Co-hosting clinical governance workshops with Birmingham Clinical Commissioning Group to position our Doctor General Practitioner as a trusted care partner.</w:t>
      </w:r>
    </w:p>
    <w:bookmarkEnd w:id="26"/>
    <w:bookmarkEnd w:id="27"/>
    <w:bookmarkStart w:id="28" w:name="budget-allocation"/>
    <w:p>
      <w:pPr>
        <w:pStyle w:val="Heading2"/>
      </w:pPr>
      <w:r>
        <w:t xml:space="preserve">Budget Allocation</w:t>
      </w:r>
    </w:p>
    <w:p>
      <w:pPr>
        <w:pStyle w:val="FirstParagraph"/>
      </w:pPr>
      <w:r>
        <w:t xml:space="preserve">Total initial investment: £125,000 (Year 1)</w:t>
      </w:r>
    </w:p>
    <w:p>
      <w:pPr>
        <w:pStyle w:val="BodyText"/>
      </w:pPr>
      <w:r>
        <w:t xml:space="preserve">Category</w:t>
      </w:r>
    </w:p>
    <w:p>
      <w:pPr>
        <w:pStyle w:val="BodyText"/>
      </w:pPr>
      <w:r>
        <w:t xml:space="preserve">Allocation</w:t>
      </w:r>
    </w:p>
    <w:p>
      <w:pPr>
        <w:pStyle w:val="BodyText"/>
      </w:pPr>
      <w:r>
        <w:t xml:space="preserve">Details</w:t>
      </w:r>
    </w:p>
    <w:p>
      <w:pPr>
        <w:pStyle w:val="BodyText"/>
      </w:pPr>
      <w:r>
        <w:t xml:space="preserve">Digital Platform Development</w:t>
      </w:r>
    </w:p>
    <w:p>
      <w:pPr>
        <w:pStyle w:val="BodyText"/>
      </w:pPr>
      <w:r>
        <w:t xml:space="preserve">£56,250</w:t>
      </w:r>
    </w:p>
    <w:p>
      <w:pPr>
        <w:pStyle w:val="BodyText"/>
      </w:pPr>
      <w:r>
        <w:t xml:space="preserve">Website, AI chatbot, multilingual integration</w:t>
      </w:r>
    </w:p>
    <w:p>
      <w:pPr>
        <w:pStyle w:val="BodyText"/>
      </w:pPr>
      <w:r>
        <w:t xml:space="preserve">Community Engagement Events</w:t>
      </w:r>
    </w:p>
    <w:p>
      <w:pPr>
        <w:pStyle w:val="BodyText"/>
      </w:pPr>
      <w:r>
        <w:t xml:space="preserve">£43,750</w:t>
      </w:r>
    </w:p>
    <w:p>
      <w:pPr>
        <w:pStyle w:val="BodyText"/>
      </w:pPr>
      <w:r>
        <w:t xml:space="preserve">Sponsorships (£20k), Ambassadors programme (£18.75k), Local workshops (£5k)</w:t>
      </w:r>
    </w:p>
    <w:p>
      <w:pPr>
        <w:pStyle w:val="BodyText"/>
      </w:pPr>
      <w:r>
        <w:t xml:space="preserve">Digital Marketing Campaigns</w:t>
      </w:r>
    </w:p>
    <w:p>
      <w:pPr>
        <w:pStyle w:val="BodyText"/>
      </w:pPr>
      <w:r>
        <w:t xml:space="preserve">£21,250</w:t>
      </w:r>
    </w:p>
    <w:p>
      <w:pPr>
        <w:pStyle w:val="BodyText"/>
      </w:pPr>
      <w:r>
        <w:t xml:space="preserve">Targeted social media, Google Ads for Birmingham keywords</w:t>
      </w:r>
    </w:p>
    <w:p>
      <w:pPr>
        <w:pStyle w:val="BodyText"/>
      </w:pPr>
      <w:r>
        <w:t xml:space="preserve">Reputation Management</w:t>
      </w:r>
    </w:p>
    <w:p>
      <w:pPr>
        <w:pStyle w:val="BodyText"/>
      </w:pPr>
      <w:r>
        <w:t xml:space="preserve">£3,750</w:t>
      </w:r>
    </w:p>
    <w:p>
      <w:pPr>
        <w:pStyle w:val="BodyText"/>
      </w:pPr>
      <w:r>
        <w:t xml:space="preserve">Patient video production and NHS collaboration materials</w:t>
      </w:r>
    </w:p>
    <w:bookmarkEnd w:id="28"/>
    <w:bookmarkStart w:id="29"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Launch website/portal, recruit Health Ambassadors in 3 priority wards, secure first employer partnership (Birmingham City Council)</w:t>
      </w:r>
    </w:p>
    <w:p>
      <w:pPr>
        <w:numPr>
          <w:ilvl w:val="0"/>
          <w:numId w:val="1007"/>
        </w:numPr>
        <w:pStyle w:val="Compact"/>
      </w:pPr>
      <w:r>
        <w:rPr>
          <w:bCs/>
          <w:b/>
        </w:rPr>
        <w:t xml:space="preserve">Q2:</w:t>
      </w:r>
      <w:r>
        <w:t xml:space="preserve"> </w:t>
      </w:r>
      <w:r>
        <w:t xml:space="preserve">Roll out AI appointment system, host inaugural mental health workshop at UOB campus</w:t>
      </w:r>
    </w:p>
    <w:p>
      <w:pPr>
        <w:numPr>
          <w:ilvl w:val="0"/>
          <w:numId w:val="1007"/>
        </w:numPr>
        <w:pStyle w:val="Compact"/>
      </w:pPr>
      <w:r>
        <w:rPr>
          <w:bCs/>
          <w:b/>
        </w:rPr>
        <w:t xml:space="preserve">Q3:</w:t>
      </w:r>
      <w:r>
        <w:t xml:space="preserve"> </w:t>
      </w:r>
      <w:r>
        <w:t xml:space="preserve">Participate in Birmingham Food Festival with free blood pressure checks, initiate multilingual patient surveys</w:t>
      </w:r>
    </w:p>
    <w:p>
      <w:pPr>
        <w:numPr>
          <w:ilvl w:val="0"/>
          <w:numId w:val="1007"/>
        </w:numPr>
        <w:pStyle w:val="Compact"/>
      </w:pPr>
      <w:r>
        <w:rPr>
          <w:bCs/>
          <w:b/>
        </w:rPr>
        <w:t xml:space="preserve">Q4:</w:t>
      </w:r>
      <w:r>
        <w:t xml:space="preserve"> </w:t>
      </w:r>
      <w:r>
        <w:t xml:space="preserve">Analyse year-one data, refine strategies for 2025 expansion into new boroughs (e.g., Sutton Coldfield)</w:t>
      </w:r>
    </w:p>
    <w:bookmarkEnd w:id="29"/>
    <w:bookmarkStart w:id="30" w:name="measurement-evaluation"/>
    <w:p>
      <w:pPr>
        <w:pStyle w:val="Heading2"/>
      </w:pPr>
      <w:r>
        <w:t xml:space="preserve">Measurement &amp; Evaluation</w:t>
      </w:r>
    </w:p>
    <w:p>
      <w:pPr>
        <w:pStyle w:val="FirstParagraph"/>
      </w:pPr>
      <w:r>
        <w:t xml:space="preserve">We track success through both quantitative and qualitative metrics:</w:t>
      </w:r>
    </w:p>
    <w:p>
      <w:pPr>
        <w:numPr>
          <w:ilvl w:val="0"/>
          <w:numId w:val="1008"/>
        </w:numPr>
        <w:pStyle w:val="Compact"/>
      </w:pPr>
      <w:r>
        <w:rPr>
          <w:iCs/>
          <w:i/>
        </w:rPr>
        <w:t xml:space="preserve">Key Performance Indicators:</w:t>
      </w:r>
      <w:r>
        <w:t xml:space="preserve"> </w:t>
      </w:r>
      <w:r>
        <w:t xml:space="preserve">Appointment conversion rate, patient retention, digital engagement (time on site), referral sources</w:t>
      </w:r>
    </w:p>
    <w:p>
      <w:pPr>
        <w:numPr>
          <w:ilvl w:val="0"/>
          <w:numId w:val="1008"/>
        </w:numPr>
        <w:pStyle w:val="Compact"/>
      </w:pPr>
      <w:r>
        <w:rPr>
          <w:iCs/>
          <w:i/>
        </w:rPr>
        <w:t xml:space="preserve">Data Sources:</w:t>
      </w:r>
      <w:r>
        <w:t xml:space="preserve"> </w:t>
      </w:r>
      <w:r>
        <w:t xml:space="preserve">Practice management software analytics, NHS Digital feedback portals, monthly community surveys</w:t>
      </w:r>
    </w:p>
    <w:p>
      <w:pPr>
        <w:numPr>
          <w:ilvl w:val="0"/>
          <w:numId w:val="1008"/>
        </w:numPr>
        <w:pStyle w:val="Compact"/>
      </w:pPr>
      <w:r>
        <w:rPr>
          <w:iCs/>
          <w:i/>
        </w:rPr>
        <w:t xml:space="preserve">Review Cadence:</w:t>
      </w:r>
      <w:r>
        <w:t xml:space="preserve"> </w:t>
      </w:r>
      <w:r>
        <w:t xml:space="preserve">Bi-monthly team reviews using Birmingham-specific dashboards showing performance against local NHS benchmarks</w:t>
      </w:r>
    </w:p>
    <w:p>
      <w:pPr>
        <w:pStyle w:val="FirstParagraph"/>
      </w:pPr>
      <w:r>
        <w:t xml:space="preserve">The Doctor General Practitioner practice will report quarterly to the Birmingham Local Health Board, ensuring alignment with United Kingdom Birmingham's public health priorities like reducing obesity rates (currently 35% above national average in Sandwell).</w:t>
      </w:r>
    </w:p>
    <w:bookmarkEnd w:id="30"/>
    <w:bookmarkStart w:id="31" w:name="conclusion"/>
    <w:p>
      <w:pPr>
        <w:pStyle w:val="Heading2"/>
      </w:pPr>
      <w:r>
        <w:t xml:space="preserve">Conclusion</w:t>
      </w:r>
    </w:p>
    <w:p>
      <w:pPr>
        <w:pStyle w:val="FirstParagraph"/>
      </w:pPr>
      <w:r>
        <w:t xml:space="preserve">This Marketing Plan positions our Doctor General Practitioner practice as an indispensable healthcare partner for United Kingdom Birmingham residents. By embedding ourselves within the city's fabric – through community-driven initiatives, digital accessibility tailored to local needs, and data-informed service improvements – we will transform how primary care is experienced in Birmingham. The plan delivers measurable outcomes that align with NHS England's vision while addressing Birmingham-specific challenges, ensuring sustainable growth and improved community health outcomes for over 1,200 new patients within the first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Kingdom Birmingham</dc:title>
  <dc:creator/>
  <dc:language>en</dc:language>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file>