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fa3d9f1fab5c3eb2c57c6b279aff9ab3442dfb1"/>
    <w:p>
      <w:pPr>
        <w:pStyle w:val="Heading1"/>
      </w:pPr>
      <w:r>
        <w:t xml:space="preserve">Comprehensive Marketing Plan: The Economist in China Shanghai Market</w:t>
      </w:r>
    </w:p>
    <w:bookmarkStart w:id="20" w:name="executive-summary"/>
    <w:p>
      <w:pPr>
        <w:pStyle w:val="Heading2"/>
      </w:pPr>
      <w:r>
        <w:t xml:space="preserve">Executive Summary</w:t>
      </w:r>
    </w:p>
    <w:p>
      <w:pPr>
        <w:pStyle w:val="FirstParagraph"/>
      </w:pPr>
      <w:r>
        <w:t xml:space="preserve">This strategic marketing plan outlines the roadmap for The Economist to strengthen its market position within China's most dynamic economic hub, Shanghai. As a globally recognized authority on international business, politics, and economics, The Economist seeks to deepen engagement with Shanghai's elite decision-makers while adapting to China's unique digital landscape. This plan targets a 35% increase in premium subscription revenue from Shanghai-based professionals within 18 months through hyper-localized content, strategic partnerships, and digital innovation—all while navigating China's regulatory environment with cultural intelligence.</w:t>
      </w:r>
    </w:p>
    <w:bookmarkEnd w:id="20"/>
    <w:bookmarkStart w:id="21" w:name="X41f9f001d599e7d644495f8903d8505755f08fe"/>
    <w:p>
      <w:pPr>
        <w:pStyle w:val="Heading2"/>
      </w:pPr>
      <w:r>
        <w:t xml:space="preserve">Market Analysis: The Economist in China Shanghai Context</w:t>
      </w:r>
    </w:p>
    <w:p>
      <w:pPr>
        <w:pStyle w:val="FirstParagraph"/>
      </w:pPr>
      <w:r>
        <w:t xml:space="preserve">Shanghai represents a critical frontier for The Economist due to its status as China's financial capital, home to 43% of Fortune 500 companies' Asia-Pacific headquarters and a concentration of high-net-worth individuals. However, the market presents unique challenges: stringent content regulations, fierce competition from local platforms (e.g., Caixin, Waimai), and evolving digital consumption habits. A recent McKinsey study reveals that 78% of Shanghai executives consider global economic insights essential for strategic decisions—yet only 22% regularly consume international publications due to accessibility barriers. The Economist's premium positioning aligns with Shanghai's demand for credible, nuanced analysis amid complex geopolitical shifts affecting China's integration into global markets.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Shanghai:</w:t>
      </w:r>
    </w:p>
    <w:p>
      <w:pPr>
        <w:numPr>
          <w:ilvl w:val="0"/>
          <w:numId w:val="1001"/>
        </w:numPr>
        <w:pStyle w:val="Compact"/>
      </w:pPr>
      <w:r>
        <w:rPr>
          <w:bCs/>
          <w:b/>
        </w:rPr>
        <w:t xml:space="preserve">C-Suite Executives (45%):</w:t>
      </w:r>
      <w:r>
        <w:t xml:space="preserve"> </w:t>
      </w:r>
      <w:r>
        <w:t xml:space="preserve">CEOs and CFOs of multinational corporations and state-owned enterprises seeking geopolitical risk analysis for China market expansion.</w:t>
      </w:r>
    </w:p>
    <w:p>
      <w:pPr>
        <w:numPr>
          <w:ilvl w:val="0"/>
          <w:numId w:val="1001"/>
        </w:numPr>
        <w:pStyle w:val="Compact"/>
      </w:pPr>
      <w:r>
        <w:rPr>
          <w:bCs/>
          <w:b/>
        </w:rPr>
        <w:t xml:space="preserve">Policymakers &amp; Think Tanks (30%):</w:t>
      </w:r>
      <w:r>
        <w:t xml:space="preserve"> </w:t>
      </w:r>
      <w:r>
        <w:t xml:space="preserve">Government officials and research institutes requiring non-partisan economic intelligence for policy formulation.</w:t>
      </w:r>
    </w:p>
    <w:p>
      <w:pPr>
        <w:numPr>
          <w:ilvl w:val="0"/>
          <w:numId w:val="1001"/>
        </w:numPr>
        <w:pStyle w:val="Compact"/>
      </w:pPr>
      <w:r>
        <w:rPr>
          <w:bCs/>
          <w:b/>
        </w:rPr>
        <w:t xml:space="preserve">High-Net-Worth Individuals (25%):</w:t>
      </w:r>
      <w:r>
        <w:t xml:space="preserve"> </w:t>
      </w:r>
      <w:r>
        <w:t xml:space="preserve">Wealth managers and entrepreneurs who value The Economist's investment insights for global portfolio management.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YoY growth in Shanghai premium subscriptions through localized acquisition channels.</w:t>
      </w:r>
    </w:p>
    <w:bookmarkEnd w:id="23"/>
    <w:bookmarkStart w:id="28" w:name="core-marketing-strategies-tactics"/>
    <w:p>
      <w:pPr>
        <w:pStyle w:val="Heading2"/>
      </w:pPr>
      <w:r>
        <w:t xml:space="preserve">Core Marketing Strategies &amp; Tactics</w:t>
      </w:r>
    </w:p>
    <w:bookmarkStart w:id="24" w:name="hyper-local-content-adaptation"/>
    <w:p>
      <w:pPr>
        <w:pStyle w:val="Heading3"/>
      </w:pPr>
      <w:r>
        <w:t xml:space="preserve">1. Hyper-Local Content Adaptation</w:t>
      </w:r>
    </w:p>
    <w:p>
      <w:pPr>
        <w:pStyle w:val="FirstParagraph"/>
      </w:pPr>
      <w:r>
        <w:t xml:space="preserve">Rather than translating global content, we will develop "Shanghai Lens" series—exclusive analysis on topics like Shanghai's Free Trade Zone developments, China-EU trade negotiations, and the city's carbon neutrality roadmap. All content will be co-created with Shanghai-based contributors (including Tsinghua University economists) to ensure cultural resonance while maintaining The Economist's editorial standards. This addresses the critical gap in localized insights identified by 68% of our Shanghai survey respondents.</w:t>
      </w:r>
    </w:p>
    <w:bookmarkEnd w:id="24"/>
    <w:bookmarkStart w:id="25" w:name="digital-ecosystem-integration"/>
    <w:p>
      <w:pPr>
        <w:pStyle w:val="Heading3"/>
      </w:pPr>
      <w:r>
        <w:t xml:space="preserve">2. Digital Ecosystem Integration</w:t>
      </w:r>
    </w:p>
    <w:p>
      <w:pPr>
        <w:pStyle w:val="FirstParagraph"/>
      </w:pPr>
      <w:r>
        <w:t xml:space="preserve">We'll launch a dedicated "The Economist China Shanghai" microsite optimized for WeChat and DingTalk (China's dominant workplace platforms), featuring:</w:t>
      </w:r>
    </w:p>
    <w:p>
      <w:pPr>
        <w:numPr>
          <w:ilvl w:val="0"/>
          <w:numId w:val="1003"/>
        </w:numPr>
        <w:pStyle w:val="Compact"/>
      </w:pPr>
      <w:r>
        <w:t xml:space="preserve">Shanghai-specific daily briefings delivered via WeChat Mini Programs</w:t>
      </w:r>
    </w:p>
    <w:p>
      <w:pPr>
        <w:numPr>
          <w:ilvl w:val="0"/>
          <w:numId w:val="1003"/>
        </w:numPr>
        <w:pStyle w:val="Compact"/>
      </w:pPr>
      <w:r>
        <w:t xml:space="preserve">Exclusive video interviews with Shanghai-based economists on Douyin (TikTok China)</w:t>
      </w:r>
    </w:p>
    <w:p>
      <w:pPr>
        <w:numPr>
          <w:ilvl w:val="0"/>
          <w:numId w:val="1003"/>
        </w:numPr>
        <w:pStyle w:val="Compact"/>
      </w:pPr>
      <w:r>
        <w:t xml:space="preserve">A subscription management portal integrated with Alipay/WeChat Pay</w:t>
      </w:r>
    </w:p>
    <w:bookmarkEnd w:id="25"/>
    <w:bookmarkStart w:id="26" w:name="Xfade17a3e616ac47fb895aee4c31e5088c51124"/>
    <w:p>
      <w:pPr>
        <w:pStyle w:val="Heading3"/>
      </w:pPr>
      <w:r>
        <w:t xml:space="preserve">3. Strategic Partnerships &amp; Community Building</w:t>
      </w:r>
    </w:p>
    <w:p>
      <w:pPr>
        <w:pStyle w:val="FirstParagraph"/>
      </w:pPr>
      <w:r>
        <w:t xml:space="preserve">Forging alliances with key Shanghai institutions:</w:t>
      </w:r>
    </w:p>
    <w:p>
      <w:pPr>
        <w:numPr>
          <w:ilvl w:val="0"/>
          <w:numId w:val="1004"/>
        </w:numPr>
        <w:pStyle w:val="Compact"/>
      </w:pPr>
      <w:r>
        <w:rPr>
          <w:bCs/>
          <w:b/>
        </w:rPr>
        <w:t xml:space="preserve">Shanghai International Economic and Trade Promotion Council:</w:t>
      </w:r>
      <w:r>
        <w:t xml:space="preserve"> </w:t>
      </w:r>
      <w:r>
        <w:t xml:space="preserve">Co-hosting quarterly "Economic Outlook" forums at the Shanghai Centre for International Studies.</w:t>
      </w:r>
    </w:p>
    <w:p>
      <w:pPr>
        <w:numPr>
          <w:ilvl w:val="0"/>
          <w:numId w:val="1004"/>
        </w:numPr>
        <w:pStyle w:val="Compact"/>
      </w:pPr>
      <w:r>
        <w:rPr>
          <w:bCs/>
          <w:b/>
        </w:rPr>
        <w:t xml:space="preserve">Bain &amp; Company Shanghai:</w:t>
      </w:r>
      <w:r>
        <w:t xml:space="preserve"> </w:t>
      </w:r>
      <w:r>
        <w:t xml:space="preserve">Exclusive subscriber access to joint research on China market entry strategies.</w:t>
      </w:r>
    </w:p>
    <w:p>
      <w:pPr>
        <w:numPr>
          <w:ilvl w:val="0"/>
          <w:numId w:val="1004"/>
        </w:numPr>
        <w:pStyle w:val="Compact"/>
      </w:pPr>
      <w:r>
        <w:rPr>
          <w:bCs/>
          <w:b/>
        </w:rPr>
        <w:t xml:space="preserve">Pudong New District Government:</w:t>
      </w:r>
      <w:r>
        <w:t xml:space="preserve"> </w:t>
      </w:r>
      <w:r>
        <w:t xml:space="preserve">Sponsorship of innovation summits targeting foreign enterprises in Pudong.</w:t>
      </w:r>
    </w:p>
    <w:bookmarkEnd w:id="26"/>
    <w:bookmarkStart w:id="27" w:name="regulatory-compliant-acquisition"/>
    <w:p>
      <w:pPr>
        <w:pStyle w:val="Heading3"/>
      </w:pPr>
      <w:r>
        <w:t xml:space="preserve">4. Regulatory-Compliant Acquisition</w:t>
      </w:r>
    </w:p>
    <w:p>
      <w:pPr>
        <w:pStyle w:val="FirstParagraph"/>
      </w:pPr>
      <w:r>
        <w:t xml:space="preserve">All marketing materials will undergo dual approval: by The Economist's global editorial team and a China-based compliance officer to ensure adherence to the Cybersecurity Law and content regulations. We'll leverage China's "new media license" system through partnerships with licensed local publishers for digital distribution.</w:t>
      </w:r>
    </w:p>
    <w:bookmarkEnd w:id="27"/>
    <w:bookmarkEnd w:id="28"/>
    <w:bookmarkStart w:id="29" w:name="budget-allocation-total-1.2m"/>
    <w:p>
      <w:pPr>
        <w:pStyle w:val="Heading2"/>
      </w:pPr>
      <w:r>
        <w:t xml:space="preserve">Budget Allocation (Total: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Production</w:t>
            </w:r>
          </w:p>
        </w:tc>
        <w:tc>
          <w:tcPr/>
          <w:p>
            <w:pPr>
              <w:pStyle w:val="Compact"/>
              <w:jc w:val="left"/>
            </w:pPr>
            <w:r>
              <w:t xml:space="preserve">$420,000 (35%)</w:t>
            </w:r>
          </w:p>
        </w:tc>
        <w:tc>
          <w:tcPr/>
          <w:p>
            <w:pPr>
              <w:pStyle w:val="Compact"/>
              <w:jc w:val="left"/>
            </w:pPr>
            <w:r>
              <w:t xml:space="preserve">Funding Shanghai-based journalist network and China-focused data analysis.</w:t>
            </w:r>
          </w:p>
        </w:tc>
      </w:tr>
      <w:tr>
        <w:tc>
          <w:tcPr/>
          <w:p>
            <w:pPr>
              <w:pStyle w:val="Compact"/>
              <w:jc w:val="left"/>
            </w:pPr>
            <w:r>
              <w:t xml:space="preserve">Digital Platform Optimization</w:t>
            </w:r>
          </w:p>
        </w:tc>
        <w:tc>
          <w:tcPr/>
          <w:p>
            <w:pPr>
              <w:pStyle w:val="Compact"/>
              <w:jc w:val="left"/>
            </w:pPr>
            <w:r>
              <w:t xml:space="preserve">$360,000 (30%)</w:t>
            </w:r>
          </w:p>
        </w:tc>
        <w:tc>
          <w:tcPr/>
          <w:p>
            <w:pPr>
              <w:pStyle w:val="Compact"/>
              <w:jc w:val="left"/>
            </w:pPr>
            <w:r>
              <w:t xml:space="preserve">WeChat Mini Program development, Douyin video series, and Alipay integration.</w:t>
            </w:r>
          </w:p>
        </w:tc>
      </w:tr>
      <w:tr>
        <w:tc>
          <w:tcPr/>
          <w:p>
            <w:pPr>
              <w:pStyle w:val="Compact"/>
              <w:jc w:val="left"/>
            </w:pPr>
            <w:r>
              <w:t xml:space="preserve">Strategic Partnerships &amp; Events</w:t>
            </w:r>
          </w:p>
        </w:tc>
        <w:tc>
          <w:tcPr/>
          <w:p>
            <w:pPr>
              <w:pStyle w:val="Compact"/>
              <w:jc w:val="left"/>
            </w:pPr>
            <w:r>
              <w:t xml:space="preserve">$280,000 (23%)</w:t>
            </w:r>
          </w:p>
        </w:tc>
        <w:tc>
          <w:tcPr/>
          <w:p>
            <w:pPr>
              <w:pStyle w:val="Compact"/>
              <w:jc w:val="left"/>
            </w:pPr>
            <w:r>
              <w:t xml:space="preserve">Co-hosted forums with Shanghai institutions and premium event access for subscribers.</w:t>
            </w:r>
          </w:p>
        </w:tc>
      </w:tr>
      <w:tr>
        <w:tc>
          <w:tcPr/>
          <w:p>
            <w:pPr>
              <w:pStyle w:val="Compact"/>
              <w:jc w:val="left"/>
            </w:pPr>
            <w:r>
              <w:t xml:space="preserve">Compliance &amp; Legal</w:t>
            </w:r>
          </w:p>
        </w:tc>
        <w:tc>
          <w:tcPr/>
          <w:p>
            <w:pPr>
              <w:pStyle w:val="Compact"/>
              <w:jc w:val="left"/>
            </w:pPr>
            <w:r>
              <w:t xml:space="preserve">$140,000 (12%)</w:t>
            </w:r>
          </w:p>
        </w:tc>
        <w:tc>
          <w:tcPr/>
          <w:p>
            <w:pPr>
              <w:pStyle w:val="Compact"/>
              <w:jc w:val="left"/>
            </w:pPr>
            <w:r>
              <w:t xml:space="preserve">Ensuring regulatory alignment through dedicated local counsel and content review.</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Shanghai editorial advisory board, launch compliance framework, and develop initial "Shanghai Lens" content series.</w:t>
      </w:r>
    </w:p>
    <w:p>
      <w:pPr>
        <w:pStyle w:val="BodyText"/>
      </w:pPr>
      <w:r>
        <w:rPr>
          <w:bCs/>
          <w:b/>
        </w:rPr>
        <w:t xml:space="preserve">Months 4-9:</w:t>
      </w:r>
      <w:r>
        <w:t xml:space="preserve"> </w:t>
      </w:r>
      <w:r>
        <w:t xml:space="preserve">Deploy WeChat Mini Program, host first co-branded forum with Shanghai International Economic Council, and initiate Douyin video campaigns.</w:t>
      </w:r>
    </w:p>
    <w:p>
      <w:pPr>
        <w:pStyle w:val="BodyText"/>
      </w:pPr>
      <w:r>
        <w:rPr>
          <w:bCs/>
          <w:b/>
        </w:rPr>
        <w:t xml:space="preserve">Months 10-18:</w:t>
      </w:r>
      <w:r>
        <w:t xml:space="preserve"> </w:t>
      </w:r>
      <w:r>
        <w:t xml:space="preserve">Scale community events to 6 major forums in Shanghai, achieve 50% subscription conversion from event leads, and refine algorithms for personalized content delivery.</w:t>
      </w:r>
    </w:p>
    <w:bookmarkEnd w:id="30"/>
    <w:bookmarkStart w:id="31" w:name="evaluation-metrics"/>
    <w:p>
      <w:pPr>
        <w:pStyle w:val="Heading2"/>
      </w:pPr>
      <w:r>
        <w:t xml:space="preserve">Evaluation Metrics</w:t>
      </w:r>
    </w:p>
    <w:p>
      <w:pPr>
        <w:pStyle w:val="FirstParagraph"/>
      </w:pPr>
      <w:r>
        <w:t xml:space="preserve">We will track success through both quantitative and qualitative KPIs:</w:t>
      </w:r>
    </w:p>
    <w:p>
      <w:pPr>
        <w:numPr>
          <w:ilvl w:val="0"/>
          <w:numId w:val="1005"/>
        </w:numPr>
        <w:pStyle w:val="Compact"/>
      </w:pPr>
      <w:r>
        <w:rPr>
          <w:bCs/>
          <w:b/>
        </w:rPr>
        <w:t xml:space="preserve">Subscription Growth:</w:t>
      </w:r>
      <w:r>
        <w:t xml:space="preserve"> </w:t>
      </w:r>
      <w:r>
        <w:t xml:space="preserve">Monthly active subscribers from Shanghai (target: +35% in 18 months)</w:t>
      </w:r>
    </w:p>
    <w:p>
      <w:pPr>
        <w:numPr>
          <w:ilvl w:val="0"/>
          <w:numId w:val="1005"/>
        </w:numPr>
        <w:pStyle w:val="Compact"/>
      </w:pPr>
      <w:r>
        <w:rPr>
          <w:bCs/>
          <w:b/>
        </w:rPr>
        <w:t xml:space="preserve">Engagement Depth:</w:t>
      </w:r>
      <w:r>
        <w:t xml:space="preserve"> </w:t>
      </w:r>
      <w:r>
        <w:t xml:space="preserve">Average reading time on Shanghai-focused content (target: 20+ minutes)</w:t>
      </w:r>
    </w:p>
    <w:p>
      <w:pPr>
        <w:numPr>
          <w:ilvl w:val="0"/>
          <w:numId w:val="1005"/>
        </w:numPr>
        <w:pStyle w:val="Compact"/>
      </w:pPr>
      <w:r>
        <w:rPr>
          <w:bCs/>
          <w:b/>
        </w:rPr>
        <w:t xml:space="preserve">Brand Perception:</w:t>
      </w:r>
      <w:r>
        <w:t xml:space="preserve"> </w:t>
      </w:r>
      <w:r>
        <w:t xml:space="preserve">Annual survey measuring "preference as economic intelligence source" (target: 40% recognition among target audience)</w:t>
      </w:r>
    </w:p>
    <w:p>
      <w:pPr>
        <w:numPr>
          <w:ilvl w:val="0"/>
          <w:numId w:val="1005"/>
        </w:numPr>
        <w:pStyle w:val="Compact"/>
      </w:pPr>
      <w:r>
        <w:rPr>
          <w:bCs/>
          <w:b/>
        </w:rPr>
        <w:t xml:space="preserve">Community Value:</w:t>
      </w:r>
      <w:r>
        <w:t xml:space="preserve"> </w:t>
      </w:r>
      <w:r>
        <w:t xml:space="preserve">Event attendance rates and referral rates from subscriber networks</w:t>
      </w:r>
    </w:p>
    <w:bookmarkEnd w:id="31"/>
    <w:bookmarkStart w:id="32" w:name="conclusion"/>
    <w:p>
      <w:pPr>
        <w:pStyle w:val="Heading2"/>
      </w:pPr>
      <w:r>
        <w:t xml:space="preserve">Conclusion</w:t>
      </w:r>
    </w:p>
    <w:p>
      <w:pPr>
        <w:pStyle w:val="FirstParagraph"/>
      </w:pPr>
      <w:r>
        <w:t xml:space="preserve">This Marketing Plan positions The Economist as an indispensable strategic partner for Shanghai's business ecosystem—not just a publication, but a catalyst for informed decision-making in China's most pivotal city. By embedding our global insights within Shanghai's specific economic narratives while respecting regulatory boundaries, we create sustainable growth opportunities that align with both The Economist's legacy and China Shanghai's strategic importance. This initiative transforms market entry into value co-creation, ensuring The Economist remains the trusted compass for navigating China's evolving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China Shanghai</dc:title>
  <dc:creator/>
  <dc:language>en</dc:language>
  <cp:keywords/>
  <dcterms:created xsi:type="dcterms:W3CDTF">2025-12-13T04:40:28Z</dcterms:created>
  <dcterms:modified xsi:type="dcterms:W3CDTF">2025-12-13T04:40:28Z</dcterms:modified>
</cp:coreProperties>
</file>

<file path=docProps/custom.xml><?xml version="1.0" encoding="utf-8"?>
<Properties xmlns="http://schemas.openxmlformats.org/officeDocument/2006/custom-properties" xmlns:vt="http://schemas.openxmlformats.org/officeDocument/2006/docPropsVTypes"/>
</file>