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Germany</w:t>
      </w:r>
      <w:r>
        <w:t xml:space="preserve"> </w:t>
      </w:r>
      <w:r>
        <w:t xml:space="preserve">Frankfurt</w:t>
      </w:r>
    </w:p>
    <w:bookmarkStart w:id="32" w:name="Xa4a6116f2c25f26a1e27214e84ba0b9d2206797"/>
    <w:p>
      <w:pPr>
        <w:pStyle w:val="Heading1"/>
      </w:pPr>
      <w:r>
        <w:t xml:space="preserve">Strategic Marketing Plan: The Economist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expand The Economist's market share and reader engagement within Germany's financial epicenter, Frankfurt. As Europe's premier business and economic intelligence publication, The Economist holds unparalleled relevance for decision-makers navigating Frankfurt's dynamic financial ecosystem. This plan focuses on leveraging our unique value proposition—rigorous analysis of global markets, policy implications, and strategic foresight—to capture a larger share of high-value readership across Germany's corporate, governmental, and academic spheres. With Frankfurt serving as the EU's central banking hub and home to Deutsche Börse Group, DAX-listed corporations, and European Central Bank operations, this market represents a critical growth frontier for The Economist.</w:t>
      </w:r>
    </w:p>
    <w:bookmarkEnd w:id="20"/>
    <w:bookmarkStart w:id="21" w:name="Xc7ec880902e2b24a39d068867a065717762a3b8"/>
    <w:p>
      <w:pPr>
        <w:pStyle w:val="Heading2"/>
      </w:pPr>
      <w:r>
        <w:t xml:space="preserve">Market Analysis: Germany Frankfurt Context</w:t>
      </w:r>
    </w:p>
    <w:p>
      <w:pPr>
        <w:pStyle w:val="FirstParagraph"/>
      </w:pPr>
      <w:r>
        <w:t xml:space="preserve">Frankfurt's significance as Germany's financial capital cannot be overstated. Host to the European Central Bank (ECB), 36% of Germany's top 500 companies, and over 1,000 financial institutions, Frankfurt generates intense demand for actionable economic intelligence. Current market dynamics reveal a gap: while traditional business media dominate local coverage, there remains an underserved segment seeking global context beyond regional news. The Economist uniquely bridges international perspective with local relevance—analyzing how ECB policy shifts impact German exports or how geopolitical tensions affect DAX volatility. Competitors like Financial Times and Handelsblatt lack our integrated global lens. In Germany, where economic literacy is high but cross-border strategic insight is scarce, The Economist's distinctive value becomes paramount.</w:t>
      </w:r>
    </w:p>
    <w:bookmarkEnd w:id="21"/>
    <w:bookmarkStart w:id="22" w:name="target-audience-segmentation"/>
    <w:p>
      <w:pPr>
        <w:pStyle w:val="Heading2"/>
      </w:pPr>
      <w:r>
        <w:t xml:space="preserve">Target Audience Segmentation</w:t>
      </w:r>
    </w:p>
    <w:p>
      <w:pPr>
        <w:pStyle w:val="FirstParagraph"/>
      </w:pPr>
      <w:r>
        <w:t xml:space="preserve">This Marketing Plan prioritizes three high-value segments in Germany Frankfurt:</w:t>
      </w:r>
    </w:p>
    <w:p>
      <w:pPr>
        <w:numPr>
          <w:ilvl w:val="0"/>
          <w:numId w:val="1001"/>
        </w:numPr>
        <w:pStyle w:val="Compact"/>
      </w:pPr>
      <w:r>
        <w:rPr>
          <w:bCs/>
          <w:b/>
        </w:rPr>
        <w:t xml:space="preserve">Corporate Executives (45-60%):</w:t>
      </w:r>
      <w:r>
        <w:t xml:space="preserve"> </w:t>
      </w:r>
      <w:r>
        <w:t xml:space="preserve">CFOs, CEOs, and strategic planners at DAX companies (e.g., Siemens, Deutsche Lufthansa) needing macro-level insights for board decisions.</w:t>
      </w:r>
    </w:p>
    <w:p>
      <w:pPr>
        <w:numPr>
          <w:ilvl w:val="0"/>
          <w:numId w:val="1001"/>
        </w:numPr>
        <w:pStyle w:val="Compact"/>
      </w:pPr>
      <w:r>
        <w:rPr>
          <w:bCs/>
          <w:b/>
        </w:rPr>
        <w:t xml:space="preserve">Financial Institutions (30%):</w:t>
      </w:r>
      <w:r>
        <w:t xml:space="preserve"> </w:t>
      </w:r>
      <w:r>
        <w:t xml:space="preserve">ECB staff, investment bankers at Commerzbank/Deutsche Bank, and asset managers requiring deep policy analysis.</w:t>
      </w:r>
    </w:p>
    <w:p>
      <w:pPr>
        <w:numPr>
          <w:ilvl w:val="0"/>
          <w:numId w:val="1001"/>
        </w:numPr>
        <w:pStyle w:val="Compact"/>
      </w:pPr>
      <w:r>
        <w:rPr>
          <w:bCs/>
          <w:b/>
        </w:rPr>
        <w:t xml:space="preserve">Institutional Decision-Makers (25%):</w:t>
      </w:r>
      <w:r>
        <w:t xml:space="preserve"> </w:t>
      </w:r>
      <w:r>
        <w:t xml:space="preserve">Government officials (Federal Ministry of Finance), academic economists at Goethe University Frankfurt, and policy think tanks.</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Growth Target:</w:t>
      </w:r>
      <w:r>
        <w:t xml:space="preserve"> </w:t>
      </w:r>
      <w:r>
        <w:t xml:space="preserve">Achieve 15% increase in digital subscriptions within Germany Frankfurt by Q4 2025.</w:t>
      </w:r>
    </w:p>
    <w:p>
      <w:pPr>
        <w:numPr>
          <w:ilvl w:val="0"/>
          <w:numId w:val="1002"/>
        </w:numPr>
        <w:pStyle w:val="Compact"/>
      </w:pPr>
      <w:r>
        <w:rPr>
          <w:bCs/>
          <w:b/>
        </w:rPr>
        <w:t xml:space="preserve">Brand Perception:</w:t>
      </w:r>
      <w:r>
        <w:t xml:space="preserve"> </w:t>
      </w:r>
      <w:r>
        <w:t xml:space="preserve">Position The Economist as the "essential intelligence partner" for Frankfurt's financial community (measured via NPS surveys).</w:t>
      </w:r>
    </w:p>
    <w:p>
      <w:pPr>
        <w:numPr>
          <w:ilvl w:val="0"/>
          <w:numId w:val="1002"/>
        </w:numPr>
        <w:pStyle w:val="Compact"/>
      </w:pPr>
      <w:r>
        <w:rPr>
          <w:bCs/>
          <w:b/>
        </w:rPr>
        <w:t xml:space="preserve">Engagement Metric:</w:t>
      </w:r>
      <w:r>
        <w:t xml:space="preserve"> </w:t>
      </w:r>
      <w:r>
        <w:t xml:space="preserve">Increase in-person event attendance at Frankfurt events by 40% YoY.</w:t>
      </w:r>
    </w:p>
    <w:bookmarkEnd w:id="23"/>
    <w:bookmarkStart w:id="28" w:name="strategic-marketing-initiatives"/>
    <w:p>
      <w:pPr>
        <w:pStyle w:val="Heading2"/>
      </w:pPr>
      <w:r>
        <w:t xml:space="preserve">Strategic Marketing Initiatives</w:t>
      </w:r>
    </w:p>
    <w:bookmarkStart w:id="24" w:name="hyper-localized-content-strategy"/>
    <w:p>
      <w:pPr>
        <w:pStyle w:val="Heading3"/>
      </w:pPr>
      <w:r>
        <w:t xml:space="preserve">1. Hyper-Localized Content Strategy</w:t>
      </w:r>
    </w:p>
    <w:p>
      <w:pPr>
        <w:pStyle w:val="FirstParagraph"/>
      </w:pPr>
      <w:r>
        <w:t xml:space="preserve">We will develop Germany-specific content pillars, including:</w:t>
      </w:r>
    </w:p>
    <w:p>
      <w:pPr>
        <w:numPr>
          <w:ilvl w:val="0"/>
          <w:numId w:val="1003"/>
        </w:numPr>
        <w:pStyle w:val="Compact"/>
      </w:pPr>
      <w:r>
        <w:rPr>
          <w:iCs/>
          <w:i/>
        </w:rPr>
        <w:t xml:space="preserve">"Frankfurt Focus":</w:t>
      </w:r>
      <w:r>
        <w:t xml:space="preserve"> </w:t>
      </w:r>
      <w:r>
        <w:t xml:space="preserve">Bi-weekly deep dives on ECB policy impacts on German manufacturing (e.g., "How Rate Hikes Affect Bavarian Auto Exports").</w:t>
      </w:r>
    </w:p>
    <w:p>
      <w:pPr>
        <w:numPr>
          <w:ilvl w:val="0"/>
          <w:numId w:val="1003"/>
        </w:numPr>
        <w:pStyle w:val="Compact"/>
      </w:pPr>
      <w:r>
        <w:rPr>
          <w:iCs/>
          <w:i/>
        </w:rPr>
        <w:t xml:space="preserve">DAX Decoded:</w:t>
      </w:r>
      <w:r>
        <w:t xml:space="preserve"> </w:t>
      </w:r>
      <w:r>
        <w:t xml:space="preserve">Analysis of top 10 DAX stocks with geopolitical context (e.g., "Why Siemens' China Strategy Needs Reevaluation Post-Trade War").</w:t>
      </w:r>
    </w:p>
    <w:p>
      <w:pPr>
        <w:numPr>
          <w:ilvl w:val="0"/>
          <w:numId w:val="1003"/>
        </w:numPr>
        <w:pStyle w:val="Compact"/>
      </w:pPr>
      <w:r>
        <w:rPr>
          <w:iCs/>
          <w:i/>
        </w:rPr>
        <w:t xml:space="preserve">Frankfurt Business Briefings:</w:t>
      </w:r>
      <w:r>
        <w:t xml:space="preserve"> </w:t>
      </w:r>
      <w:r>
        <w:t xml:space="preserve">Exclusive monthly email newsletters with data visualizations relevant to local readers.</w:t>
      </w:r>
    </w:p>
    <w:bookmarkEnd w:id="24"/>
    <w:bookmarkStart w:id="25" w:name="targeted-digital-data-driven-acquisition"/>
    <w:p>
      <w:pPr>
        <w:pStyle w:val="Heading3"/>
      </w:pPr>
      <w:r>
        <w:t xml:space="preserve">2. Targeted Digital &amp; Data-Driven Acquisition</w:t>
      </w:r>
    </w:p>
    <w:p>
      <w:pPr>
        <w:pStyle w:val="FirstParagraph"/>
      </w:pPr>
      <w:r>
        <w:t xml:space="preserve">Leveraging Frankfurt's corporate density, we deploy precision tactics:</w:t>
      </w:r>
    </w:p>
    <w:p>
      <w:pPr>
        <w:numPr>
          <w:ilvl w:val="0"/>
          <w:numId w:val="1004"/>
        </w:numPr>
        <w:pStyle w:val="Compact"/>
      </w:pPr>
      <w:r>
        <w:rPr>
          <w:bCs/>
          <w:b/>
        </w:rPr>
        <w:t xml:space="preserve">LinkedIn Account-Based Marketing (ABM):</w:t>
      </w:r>
      <w:r>
        <w:t xml:space="preserve"> </w:t>
      </w:r>
      <w:r>
        <w:t xml:space="preserve">Customized content campaigns targeting job titles at Deutsche Börse, Daimler, and ECB staff via LinkedIn ads.</w:t>
      </w:r>
    </w:p>
    <w:p>
      <w:pPr>
        <w:numPr>
          <w:ilvl w:val="0"/>
          <w:numId w:val="1004"/>
        </w:numPr>
        <w:pStyle w:val="Compact"/>
      </w:pPr>
      <w:r>
        <w:rPr>
          <w:bCs/>
          <w:b/>
        </w:rPr>
        <w:t xml:space="preserve">Geo-Targeted Digital Ads:</w:t>
      </w:r>
      <w:r>
        <w:t xml:space="preserve"> </w:t>
      </w:r>
      <w:r>
        <w:t xml:space="preserve">Display ads on finance portals (e.g., Finanztip) and Google Ads triggered by keywords like "ECB policy," "DAX trends," or "Frankfurt business insights."</w:t>
      </w:r>
    </w:p>
    <w:p>
      <w:pPr>
        <w:numPr>
          <w:ilvl w:val="0"/>
          <w:numId w:val="1004"/>
        </w:numPr>
        <w:pStyle w:val="Compact"/>
      </w:pPr>
      <w:r>
        <w:rPr>
          <w:bCs/>
          <w:b/>
        </w:rPr>
        <w:t xml:space="preserve">Partnership with Goethe University:</w:t>
      </w:r>
      <w:r>
        <w:t xml:space="preserve"> </w:t>
      </w:r>
      <w:r>
        <w:t xml:space="preserve">Co-hosting seminars on economic policy, with free Economist access for students/researchers in exchange for feedback.</w:t>
      </w:r>
    </w:p>
    <w:bookmarkEnd w:id="25"/>
    <w:bookmarkStart w:id="26" w:name="high-value-physical-engagement"/>
    <w:p>
      <w:pPr>
        <w:pStyle w:val="Heading3"/>
      </w:pPr>
      <w:r>
        <w:t xml:space="preserve">3. High-Value Physical Engagement</w:t>
      </w:r>
    </w:p>
    <w:p>
      <w:pPr>
        <w:pStyle w:val="FirstParagraph"/>
      </w:pPr>
      <w:r>
        <w:t xml:space="preserve">To deepen relationships beyond digital, we launch:</w:t>
      </w:r>
    </w:p>
    <w:p>
      <w:pPr>
        <w:numPr>
          <w:ilvl w:val="0"/>
          <w:numId w:val="1005"/>
        </w:numPr>
        <w:pStyle w:val="Compact"/>
      </w:pPr>
      <w:r>
        <w:rPr>
          <w:bCs/>
          <w:b/>
        </w:rPr>
        <w:t xml:space="preserve">Economist Frankfurt Salon Series:</w:t>
      </w:r>
      <w:r>
        <w:t xml:space="preserve"> </w:t>
      </w:r>
      <w:r>
        <w:t xml:space="preserve">Quarterly intimate dinners at The Ritz-Carlton Frankfurt for 50 executives, featuring exclusive interviews with ECB governors or German finance ministers.</w:t>
      </w:r>
    </w:p>
    <w:p>
      <w:pPr>
        <w:numPr>
          <w:ilvl w:val="0"/>
          <w:numId w:val="1005"/>
        </w:numPr>
        <w:pStyle w:val="Compact"/>
      </w:pPr>
      <w:r>
        <w:rPr>
          <w:bCs/>
          <w:b/>
        </w:rPr>
        <w:t xml:space="preserve">ECB Policy Roundtables:</w:t>
      </w:r>
      <w:r>
        <w:t xml:space="preserve"> </w:t>
      </w:r>
      <w:r>
        <w:t xml:space="preserve">Partnering with the European Central Bank (with approval) to host closed-door briefings on monetary policy shifts.</w:t>
      </w:r>
    </w:p>
    <w:p>
      <w:pPr>
        <w:numPr>
          <w:ilvl w:val="0"/>
          <w:numId w:val="1005"/>
        </w:numPr>
        <w:pStyle w:val="Compact"/>
      </w:pPr>
      <w:r>
        <w:rPr>
          <w:bCs/>
          <w:b/>
        </w:rPr>
        <w:t xml:space="preserve">"Economist Breakfasts":</w:t>
      </w:r>
      <w:r>
        <w:t xml:space="preserve"> </w:t>
      </w:r>
      <w:r>
        <w:t xml:space="preserve">Monthly 7:30 AM events at Frankfurt's Business Lounge for morning briefings on market-moving news.</w:t>
      </w:r>
    </w:p>
    <w:bookmarkEnd w:id="26"/>
    <w:bookmarkStart w:id="27" w:name="premium-membership-benefits"/>
    <w:p>
      <w:pPr>
        <w:pStyle w:val="Heading3"/>
      </w:pPr>
      <w:r>
        <w:t xml:space="preserve">4. Premium Membership Benefits</w:t>
      </w:r>
    </w:p>
    <w:p>
      <w:pPr>
        <w:pStyle w:val="FirstParagraph"/>
      </w:pPr>
      <w:r>
        <w:t xml:space="preserve">We enhance subscriber value with Germany-specific perks:</w:t>
      </w:r>
    </w:p>
    <w:p>
      <w:pPr>
        <w:numPr>
          <w:ilvl w:val="0"/>
          <w:numId w:val="1006"/>
        </w:numPr>
        <w:pStyle w:val="Compact"/>
      </w:pPr>
      <w:r>
        <w:rPr>
          <w:bCs/>
          <w:b/>
        </w:rPr>
        <w:t xml:space="preserve">Frankfurt Market Alerts:</w:t>
      </w:r>
      <w:r>
        <w:t xml:space="preserve"> </w:t>
      </w:r>
      <w:r>
        <w:t xml:space="preserve">Real-time SMS notifications for DAX volatility exceeding 2%.</w:t>
      </w:r>
    </w:p>
    <w:p>
      <w:pPr>
        <w:numPr>
          <w:ilvl w:val="0"/>
          <w:numId w:val="1006"/>
        </w:numPr>
        <w:pStyle w:val="Compact"/>
      </w:pPr>
      <w:r>
        <w:rPr>
          <w:bCs/>
          <w:b/>
        </w:rPr>
        <w:t xml:space="preserve">Exclusive Networking:</w:t>
      </w:r>
      <w:r>
        <w:t xml:space="preserve"> </w:t>
      </w:r>
      <w:r>
        <w:t xml:space="preserve">Invitations to The Economist's annual "European Economic Summit" held in Frankfurt.</w:t>
      </w:r>
    </w:p>
    <w:p>
      <w:pPr>
        <w:numPr>
          <w:ilvl w:val="0"/>
          <w:numId w:val="1006"/>
        </w:numPr>
        <w:pStyle w:val="Compact"/>
      </w:pPr>
      <w:r>
        <w:rPr>
          <w:bCs/>
          <w:b/>
        </w:rPr>
        <w:t xml:space="preserve">Tax-Deductible Subscriptions:</w:t>
      </w:r>
      <w:r>
        <w:t xml:space="preserve"> </w:t>
      </w:r>
      <w:r>
        <w:t xml:space="preserve">Marketing this as a business expense to corporations via tailored B2B contracts.</w:t>
      </w:r>
    </w:p>
    <w:bookmarkEnd w:id="27"/>
    <w:bookmarkEnd w:id="28"/>
    <w:bookmarkStart w:id="29" w:name="X72366021e6b76ba298cb8f9eadd606778194282"/>
    <w:p>
      <w:pPr>
        <w:pStyle w:val="Heading2"/>
      </w:pPr>
      <w:r>
        <w:t xml:space="preserve">Budget Allocation (Germany Frankfurt Focus)</w:t>
      </w:r>
    </w:p>
    <w:p>
      <w:pPr>
        <w:pStyle w:val="FirstParagraph"/>
      </w:pPr>
      <w:r>
        <w:t xml:space="preserve">Total allocated budget: €850,000 for 12 months. Breakdown:</w:t>
      </w:r>
    </w:p>
    <w:p>
      <w:pPr>
        <w:numPr>
          <w:ilvl w:val="0"/>
          <w:numId w:val="1007"/>
        </w:numPr>
        <w:pStyle w:val="Compact"/>
      </w:pPr>
      <w:r>
        <w:rPr>
          <w:bCs/>
          <w:b/>
        </w:rPr>
        <w:t xml:space="preserve">Content Localization:</w:t>
      </w:r>
      <w:r>
        <w:t xml:space="preserve"> </w:t>
      </w:r>
      <w:r>
        <w:t xml:space="preserve">€350,000 (Germany-focused journalism, data viz)</w:t>
      </w:r>
    </w:p>
    <w:p>
      <w:pPr>
        <w:numPr>
          <w:ilvl w:val="0"/>
          <w:numId w:val="1007"/>
        </w:numPr>
        <w:pStyle w:val="Compact"/>
      </w:pPr>
      <w:r>
        <w:rPr>
          <w:bCs/>
          <w:b/>
        </w:rPr>
        <w:t xml:space="preserve">Digital Acquisition &amp; ABM:</w:t>
      </w:r>
      <w:r>
        <w:t xml:space="preserve"> </w:t>
      </w:r>
      <w:r>
        <w:t xml:space="preserve">€250,000 (LinkedIn/Google Ads, CRM tools)</w:t>
      </w:r>
    </w:p>
    <w:p>
      <w:pPr>
        <w:numPr>
          <w:ilvl w:val="0"/>
          <w:numId w:val="1007"/>
        </w:numPr>
        <w:pStyle w:val="Compact"/>
      </w:pPr>
      <w:r>
        <w:rPr>
          <w:bCs/>
          <w:b/>
        </w:rPr>
        <w:t xml:space="preserve">Physical Events:</w:t>
      </w:r>
      <w:r>
        <w:t xml:space="preserve"> </w:t>
      </w:r>
      <w:r>
        <w:t xml:space="preserve">€185,000 (Salons, roundtables at premium venues)</w:t>
      </w:r>
    </w:p>
    <w:p>
      <w:pPr>
        <w:numPr>
          <w:ilvl w:val="0"/>
          <w:numId w:val="1007"/>
        </w:numPr>
        <w:pStyle w:val="Compact"/>
      </w:pPr>
      <w:r>
        <w:rPr>
          <w:bCs/>
          <w:b/>
        </w:rPr>
        <w:t xml:space="preserve">Premium Perks &amp; Partnerships:</w:t>
      </w:r>
      <w:r>
        <w:t xml:space="preserve"> </w:t>
      </w:r>
      <w:r>
        <w:t xml:space="preserve">€65,000 (Goethe University collaboration, tax-deductibility campaign)</w:t>
      </w:r>
    </w:p>
    <w:bookmarkEnd w:id="29"/>
    <w:bookmarkStart w:id="30" w:name="success-metrics-kpis"/>
    <w:p>
      <w:pPr>
        <w:pStyle w:val="Heading2"/>
      </w:pPr>
      <w:r>
        <w:t xml:space="preserve">Success Metrics &amp; KPIs</w:t>
      </w:r>
    </w:p>
    <w:p>
      <w:pPr>
        <w:pStyle w:val="FirstParagraph"/>
      </w:pPr>
      <w:r>
        <w:t xml:space="preserve">We track progress through these Germany Frankfurt-specific KPIs:</w:t>
      </w:r>
    </w:p>
    <w:p>
      <w:pPr>
        <w:numPr>
          <w:ilvl w:val="0"/>
          <w:numId w:val="1008"/>
        </w:numPr>
        <w:pStyle w:val="Compact"/>
      </w:pPr>
      <w:r>
        <w:rPr>
          <w:bCs/>
          <w:b/>
        </w:rPr>
        <w:t xml:space="preserve">Subscription Growth Rate:</w:t>
      </w:r>
      <w:r>
        <w:t xml:space="preserve"> </w:t>
      </w:r>
      <w:r>
        <w:t xml:space="preserve">Monthly net new subscribers in Frankfurt (target: 15% increase).</w:t>
      </w:r>
    </w:p>
    <w:p>
      <w:pPr>
        <w:numPr>
          <w:ilvl w:val="0"/>
          <w:numId w:val="1008"/>
        </w:numPr>
        <w:pStyle w:val="Compact"/>
      </w:pPr>
      <w:r>
        <w:rPr>
          <w:bCs/>
          <w:b/>
        </w:rPr>
        <w:t xml:space="preserve">Content Engagement:</w:t>
      </w:r>
      <w:r>
        <w:t xml:space="preserve"> </w:t>
      </w:r>
      <w:r>
        <w:t xml:space="preserve">Click-through rates on Germany-specific articles (target: 40%+ vs. global average of 28%).</w:t>
      </w:r>
    </w:p>
    <w:p>
      <w:pPr>
        <w:numPr>
          <w:ilvl w:val="0"/>
          <w:numId w:val="1008"/>
        </w:numPr>
        <w:pStyle w:val="Compact"/>
      </w:pPr>
      <w:r>
        <w:rPr>
          <w:bCs/>
          <w:b/>
        </w:rPr>
        <w:t xml:space="preserve">Event ROI:</w:t>
      </w:r>
      <w:r>
        <w:t xml:space="preserve"> </w:t>
      </w:r>
      <w:r>
        <w:t xml:space="preserve">Conversion rate from events to paid subscriptions (target: 35%+).</w:t>
      </w:r>
    </w:p>
    <w:p>
      <w:pPr>
        <w:numPr>
          <w:ilvl w:val="0"/>
          <w:numId w:val="1008"/>
        </w:numPr>
        <w:pStyle w:val="Compact"/>
      </w:pPr>
      <w:r>
        <w:rPr>
          <w:bCs/>
          <w:b/>
        </w:rPr>
        <w:t xml:space="preserve">Brand Sentiment:</w:t>
      </w:r>
      <w:r>
        <w:t xml:space="preserve"> </w:t>
      </w:r>
      <w:r>
        <w:t xml:space="preserve">NPS score among Frankfurt business leaders (target: +25 points from baseline).</w:t>
      </w:r>
    </w:p>
    <w:bookmarkEnd w:id="30"/>
    <w:bookmarkStart w:id="31" w:name="conclusion"/>
    <w:p>
      <w:pPr>
        <w:pStyle w:val="Heading2"/>
      </w:pPr>
      <w:r>
        <w:t xml:space="preserve">Conclusion</w:t>
      </w:r>
    </w:p>
    <w:p>
      <w:pPr>
        <w:pStyle w:val="FirstParagraph"/>
      </w:pPr>
      <w:r>
        <w:t xml:space="preserve">The Economist's Marketing Plan for Germany Frankfurt is not merely a regional campaign—it is a strategic investment in the heart of Europe's economic engine. By embedding our publication into the daily rhythm of Frankfurt's financial ecosystem through hyper-localized content, precision marketing, and exclusive physical experiences, we transform The Economist from a news source into an indispensable strategic partner. This plan directly addresses the unmet need for global context within Germany's most influential business community. Success here will establish a replicable model for other European financial hubs while significantly boosting The Economist's long-term value in one of the world's most critical economic centers. With Frankfurt as our flagship market, we cement The Economist’s position as the definitive voice of global economic intelligence where it matters most: at the intersection of policy and profit.</w:t>
      </w:r>
    </w:p>
    <w:p>
      <w:pPr>
        <w:pStyle w:val="BodyText"/>
      </w:pPr>
      <w:r>
        <w:rPr>
          <w:bCs/>
          <w:b/>
        </w:rPr>
        <w:t xml:space="preserve">Marketing Plan</w:t>
      </w:r>
      <w:r>
        <w:t xml:space="preserve"> </w:t>
      </w:r>
      <w:r>
        <w:t xml:space="preserve">execution for</w:t>
      </w:r>
      <w:r>
        <w:t xml:space="preserve"> </w:t>
      </w:r>
      <w:r>
        <w:rPr>
          <w:bCs/>
          <w:b/>
        </w:rPr>
        <w:t xml:space="preserve">Economist</w:t>
      </w:r>
      <w:r>
        <w:t xml:space="preserve"> </w:t>
      </w:r>
      <w:r>
        <w:t xml:space="preserve">in</w:t>
      </w:r>
      <w:r>
        <w:t xml:space="preserve"> </w:t>
      </w:r>
      <w:r>
        <w:rPr>
          <w:bCs/>
          <w:b/>
        </w:rPr>
        <w:t xml:space="preserve">Germany Frankfurt</w:t>
      </w:r>
      <w:r>
        <w:t xml:space="preserve"> </w:t>
      </w:r>
      <w:r>
        <w:t xml:space="preserve">will deliver measurable growth by aligning our unique editorial strength with the specific demands of Europe’s financial capital. This is how The Economist becomes not just read, but essential.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Germany Frankfurt</dc:title>
  <dc:creator/>
  <dc:language>en</dc:language>
  <cp:keywords/>
  <dcterms:created xsi:type="dcterms:W3CDTF">2026-07-25T05:30:08Z</dcterms:created>
  <dcterms:modified xsi:type="dcterms:W3CDTF">2026-07-25T05:30:08Z</dcterms:modified>
</cp:coreProperties>
</file>

<file path=docProps/custom.xml><?xml version="1.0" encoding="utf-8"?>
<Properties xmlns="http://schemas.openxmlformats.org/officeDocument/2006/custom-properties" xmlns:vt="http://schemas.openxmlformats.org/officeDocument/2006/docPropsVTypes"/>
</file>