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29" w:name="X3eefc989e8bd36e6f7196d70de9bd7c270277ce"/>
    <w:p>
      <w:pPr>
        <w:pStyle w:val="Heading1"/>
      </w:pPr>
      <w:r>
        <w:t xml:space="preserve">Marketing Plan: The Economist in Iran Tehran</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The Economist in Iran's capital, Tehran. As a globally renowned publication renowned for its incisive analysis of international economics and politics, The Economist presents a unique opportunity to engage Iran's elite business, academic, and policymaking communities. This plan addresses market-specific challenges including digital infrastructure limitations, payment barriers under sanctions, and cultural nuances while positioning The Economist as the indispensable intelligence source for Tehran's decision-makers. Our 18-month strategy targets 5,000 paid subscribers in Tehran by Year 2 with a focus on premium digital subscriptions and exclusive local partnerships.</w:t>
      </w:r>
    </w:p>
    <w:bookmarkEnd w:id="20"/>
    <w:bookmarkStart w:id="21" w:name="Xd9c89e06c3e6b7ffc354c0739894f7d798e6d1a"/>
    <w:p>
      <w:pPr>
        <w:pStyle w:val="Heading2"/>
      </w:pPr>
      <w:r>
        <w:t xml:space="preserve">Situation Analysis: Iran Tehran Market Context</w:t>
      </w:r>
    </w:p>
    <w:p>
      <w:pPr>
        <w:pStyle w:val="FirstParagraph"/>
      </w:pPr>
      <w:r>
        <w:t xml:space="preserve">The Iranian market presents both opportunities and complexities. Tehran, as the economic nerve center hosting over 60% of Iran's Fortune 500 companies and major financial institutions, represents a high-value audience hungry for credible global economic insights. Despite U.S. sanctions complicating direct payment processing, digital adoption in Tehran has surged—78% of business professionals use smartphones daily for work (2023 IT Ministry Report). The Economist's reputation as the world's most authoritative economic analysis source aligns perfectly with Tehran's strategic need to navigate complex global markets. However, competing publications like Iran Daily and Shargh lack The Economist's international depth, creating a clear differentiation opportunity.</w:t>
      </w:r>
    </w:p>
    <w:bookmarkEnd w:id="21"/>
    <w:bookmarkStart w:id="22" w:name="target-audience-segmentation-in-tehran"/>
    <w:p>
      <w:pPr>
        <w:pStyle w:val="Heading2"/>
      </w:pPr>
      <w:r>
        <w:t xml:space="preserve">Target Audience Segmentation in Tehran</w:t>
      </w:r>
    </w:p>
    <w:p>
      <w:pPr>
        <w:pStyle w:val="FirstParagraph"/>
      </w:pPr>
      <w:r>
        <w:t xml:space="preserve">We've identified three high-value segments for The Economist in Tehran:</w:t>
      </w:r>
    </w:p>
    <w:p>
      <w:pPr>
        <w:numPr>
          <w:ilvl w:val="0"/>
          <w:numId w:val="1001"/>
        </w:numPr>
        <w:pStyle w:val="Compact"/>
      </w:pPr>
      <w:r>
        <w:rPr>
          <w:bCs/>
          <w:b/>
        </w:rPr>
        <w:t xml:space="preserve">Senior Business Executives (40% of target):</w:t>
      </w:r>
      <w:r>
        <w:t xml:space="preserve"> </w:t>
      </w:r>
      <w:r>
        <w:t xml:space="preserve">CEOs and CFOs of major Iranian conglomerates (e.g., Mapna, Petropars) requiring geopolitical risk analysis for investment decisions.</w:t>
      </w:r>
    </w:p>
    <w:p>
      <w:pPr>
        <w:numPr>
          <w:ilvl w:val="0"/>
          <w:numId w:val="1001"/>
        </w:numPr>
        <w:pStyle w:val="Compact"/>
      </w:pPr>
      <w:r>
        <w:rPr>
          <w:bCs/>
          <w:b/>
        </w:rPr>
        <w:t xml:space="preserve">Policymakers &amp; Diplomats (35%):</w:t>
      </w:r>
      <w:r>
        <w:t xml:space="preserve"> </w:t>
      </w:r>
      <w:r>
        <w:t xml:space="preserve">Ministry officials and UN representatives needing context on global economic shifts affecting Iran's trade negotiations.</w:t>
      </w:r>
    </w:p>
    <w:p>
      <w:pPr>
        <w:numPr>
          <w:ilvl w:val="0"/>
          <w:numId w:val="1001"/>
        </w:numPr>
        <w:pStyle w:val="Compact"/>
      </w:pPr>
      <w:r>
        <w:rPr>
          <w:bCs/>
          <w:b/>
        </w:rPr>
        <w:t xml:space="preserve">Affluent Academia &amp; Think Tanks (25%):</w:t>
      </w:r>
      <w:r>
        <w:t xml:space="preserve"> </w:t>
      </w:r>
      <w:r>
        <w:t xml:space="preserve">Professors at Tehran University, Sharif University, and research institutes like the Center for Strategic Research seeking credible data for policy development.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among Tehran's business elite within 12 months through targeted industry events.</w:t>
      </w:r>
    </w:p>
    <w:p>
      <w:pPr>
        <w:numPr>
          <w:ilvl w:val="0"/>
          <w:numId w:val="1002"/>
        </w:numPr>
        <w:pStyle w:val="Compact"/>
      </w:pPr>
      <w:r>
        <w:rPr>
          <w:bCs/>
          <w:b/>
        </w:rPr>
        <w:t xml:space="preserve">Acquisition:</w:t>
      </w:r>
      <w:r>
        <w:t xml:space="preserve"> </w:t>
      </w:r>
      <w:r>
        <w:t xml:space="preserve">Secure 3,000 digital subscriptions in Year 1 and reach 5,000 total by Year 2 (48% conversion from free trial users).</w:t>
      </w:r>
    </w:p>
    <w:p>
      <w:pPr>
        <w:numPr>
          <w:ilvl w:val="0"/>
          <w:numId w:val="1002"/>
        </w:numPr>
        <w:pStyle w:val="Compact"/>
      </w:pPr>
      <w:r>
        <w:rPr>
          <w:bCs/>
          <w:b/>
        </w:rPr>
        <w:t xml:space="preserve">Engagement:</w:t>
      </w:r>
      <w:r>
        <w:t xml:space="preserve"> </w:t>
      </w:r>
      <w:r>
        <w:t xml:space="preserve">Maintain 65% monthly active user rate among subscribers via localized content modules.</w:t>
      </w:r>
    </w:p>
    <w:p>
      <w:pPr>
        <w:numPr>
          <w:ilvl w:val="0"/>
          <w:numId w:val="1002"/>
        </w:numPr>
        <w:pStyle w:val="Compact"/>
      </w:pPr>
      <w:r>
        <w:rPr>
          <w:bCs/>
          <w:b/>
        </w:rPr>
        <w:t xml:space="preserve">Revenue:</w:t>
      </w:r>
      <w:r>
        <w:t xml:space="preserve"> </w:t>
      </w:r>
      <w:r>
        <w:t xml:space="preserve">Achieve $1.2M in subscription revenue from Tehran by Year 2 with a 70% gross margin.</w:t>
      </w:r>
    </w:p>
    <w:bookmarkEnd w:id="23"/>
    <w:bookmarkStart w:id="24" w:name="strategic-positioning-value-proposition"/>
    <w:p>
      <w:pPr>
        <w:pStyle w:val="Heading2"/>
      </w:pPr>
      <w:r>
        <w:t xml:space="preserve">Strategic Positioning &amp; Value Proposition</w:t>
      </w:r>
    </w:p>
    <w:p>
      <w:pPr>
        <w:pStyle w:val="FirstParagraph"/>
      </w:pPr>
      <w:r>
        <w:t xml:space="preserve">The Economist will position itself as "Iran's Gateway to Unfiltered Global Economic Intelligence." Unlike local publications constrained by domestic perspectives, our content offers:</w:t>
      </w:r>
    </w:p>
    <w:p>
      <w:pPr>
        <w:numPr>
          <w:ilvl w:val="0"/>
          <w:numId w:val="1003"/>
        </w:numPr>
        <w:pStyle w:val="Compact"/>
      </w:pPr>
      <w:r>
        <w:rPr>
          <w:bCs/>
          <w:b/>
        </w:rPr>
        <w:t xml:space="preserve">Sanctions-Compliant Analysis:</w:t>
      </w:r>
      <w:r>
        <w:t xml:space="preserve"> </w:t>
      </w:r>
      <w:r>
        <w:t xml:space="preserve">In-depth reports on alternative trade corridors and investment opportunities beyond Western sanctions (e.g., BRICS partnerships, Turkmenistan pipelines).</w:t>
      </w:r>
    </w:p>
    <w:p>
      <w:pPr>
        <w:numPr>
          <w:ilvl w:val="0"/>
          <w:numId w:val="1003"/>
        </w:numPr>
        <w:pStyle w:val="Compact"/>
      </w:pPr>
      <w:r>
        <w:rPr>
          <w:bCs/>
          <w:b/>
        </w:rPr>
        <w:t xml:space="preserve">Tehran-Specific Insights:</w:t>
      </w:r>
      <w:r>
        <w:t xml:space="preserve"> </w:t>
      </w:r>
      <w:r>
        <w:t xml:space="preserve">Weekly "Persian Gulf Economic Brief" featuring Iran's oil pricing impacts, currency fluctuations, and regional supply chain shifts.</w:t>
      </w:r>
    </w:p>
    <w:p>
      <w:pPr>
        <w:numPr>
          <w:ilvl w:val="0"/>
          <w:numId w:val="1003"/>
        </w:numPr>
        <w:pStyle w:val="Compact"/>
      </w:pPr>
      <w:r>
        <w:rPr>
          <w:bCs/>
          <w:b/>
        </w:rPr>
        <w:t xml:space="preserve">Exclusive Local Access:</w:t>
      </w:r>
      <w:r>
        <w:t xml:space="preserve"> </w:t>
      </w:r>
      <w:r>
        <w:t xml:space="preserve">Monthly virtual roundtables with Tehran-based economists (e.g., former Central Bank advisors) discussing domestic policy implications of global trends.</w:t>
      </w:r>
    </w:p>
    <w:bookmarkEnd w:id="24"/>
    <w:bookmarkStart w:id="25" w:name="tactical-implementation-plan"/>
    <w:p>
      <w:pPr>
        <w:pStyle w:val="Heading2"/>
      </w:pPr>
      <w:r>
        <w:t xml:space="preserve">Tactical Implementation Plan</w:t>
      </w:r>
    </w:p>
    <w:p>
      <w:pPr>
        <w:pStyle w:val="FirstParagraph"/>
      </w:pPr>
      <w:r>
        <w:rPr>
          <w:bCs/>
          <w:b/>
        </w:rPr>
        <w:t xml:space="preserve">Digital Subscription Architecture:</w:t>
      </w:r>
      <w:r>
        <w:t xml:space="preserve"> </w:t>
      </w:r>
      <w:r>
        <w:t xml:space="preserve">Partner with Iran's largest fintech platform, Snapp, to enable local payment processing via bank transfer and mobile wallets (e.g., Sepah Bank), bypassing international card restrictions. All subscriptions will include a 30-day free trial with "Iran Focus" content samples.</w:t>
      </w:r>
    </w:p>
    <w:p>
      <w:pPr>
        <w:pStyle w:val="BodyText"/>
      </w:pPr>
      <w:r>
        <w:rPr>
          <w:bCs/>
          <w:b/>
        </w:rPr>
        <w:t xml:space="preserve">Localized Content Strategy:</w:t>
      </w:r>
    </w:p>
    <w:p>
      <w:pPr>
        <w:numPr>
          <w:ilvl w:val="0"/>
          <w:numId w:val="1004"/>
        </w:numPr>
        <w:pStyle w:val="Compact"/>
      </w:pPr>
      <w:r>
        <w:t xml:space="preserve">Develop monthly Tehran-specific newsletters ("Tehran Market Pulse") analyzing domestic economic indicators alongside global context.</w:t>
      </w:r>
    </w:p>
    <w:p>
      <w:pPr>
        <w:numPr>
          <w:ilvl w:val="0"/>
          <w:numId w:val="1004"/>
        </w:numPr>
        <w:pStyle w:val="Compact"/>
      </w:pPr>
      <w:r>
        <w:t xml:space="preserve">Create video summaries of key Economist articles with Persian subtitles for social media (Instagram/TikTok) targeting university students.</w:t>
      </w:r>
    </w:p>
    <w:p>
      <w:pPr>
        <w:numPr>
          <w:ilvl w:val="0"/>
          <w:numId w:val="1004"/>
        </w:numPr>
        <w:pStyle w:val="Compact"/>
      </w:pPr>
      <w:r>
        <w:t xml:space="preserve">Host quarterly "Economic Insight Sessions" at The Park Hotel Tehran featuring The Economist's regional correspondents discussing topics like "Iran's Green Economy Transition."</w:t>
      </w:r>
    </w:p>
    <w:p>
      <w:pPr>
        <w:pStyle w:val="FirstParagraph"/>
      </w:pPr>
      <w:r>
        <w:rPr>
          <w:bCs/>
          <w:b/>
        </w:rPr>
        <w:t xml:space="preserve">Strategic Partnerships:</w:t>
      </w:r>
    </w:p>
    <w:p>
      <w:pPr>
        <w:numPr>
          <w:ilvl w:val="0"/>
          <w:numId w:val="1005"/>
        </w:numPr>
        <w:pStyle w:val="Compact"/>
      </w:pPr>
      <w:r>
        <w:rPr>
          <w:iCs/>
          <w:i/>
        </w:rPr>
        <w:t xml:space="preserve">Academic Alliances:</w:t>
      </w:r>
      <w:r>
        <w:t xml:space="preserve"> </w:t>
      </w:r>
      <w:r>
        <w:t xml:space="preserve">Free institutional access for Tehran University's Economics Department in exchange for co-hosting research webinars.</w:t>
      </w:r>
    </w:p>
    <w:p>
      <w:pPr>
        <w:numPr>
          <w:ilvl w:val="0"/>
          <w:numId w:val="1005"/>
        </w:numPr>
        <w:pStyle w:val="Compact"/>
      </w:pPr>
      <w:r>
        <w:rPr>
          <w:iCs/>
          <w:i/>
        </w:rPr>
        <w:t xml:space="preserve">Corporate Partnerships:</w:t>
      </w:r>
      <w:r>
        <w:t xml:space="preserve"> </w:t>
      </w:r>
      <w:r>
        <w:t xml:space="preserve">Premium content bundles with Iran Chamber of Commerce (e.g., "Sanctions Navigation Toolkit" included in corporate subscriptions).</w:t>
      </w:r>
    </w:p>
    <w:p>
      <w:pPr>
        <w:numPr>
          <w:ilvl w:val="0"/>
          <w:numId w:val="1005"/>
        </w:numPr>
        <w:pStyle w:val="Compact"/>
      </w:pPr>
      <w:r>
        <w:rPr>
          <w:iCs/>
          <w:i/>
        </w:rPr>
        <w:t xml:space="preserve">Diplomatic Engagement:</w:t>
      </w:r>
      <w:r>
        <w:t xml:space="preserve"> </w:t>
      </w:r>
      <w:r>
        <w:t xml:space="preserve">Provide exclusive Economist briefings to Tehran-based diplomatic corps through the Ministry of Foreign Affairs.</w:t>
      </w:r>
    </w:p>
    <w:bookmarkEnd w:id="25"/>
    <w:bookmarkStart w:id="26" w:name="budget-allocation-year-1-850000"/>
    <w:p>
      <w:pPr>
        <w:pStyle w:val="Heading2"/>
      </w:pPr>
      <w:r>
        <w:t xml:space="preserve">Budget Allocation (Year 1: $850,000)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Localized Content Production</w:t>
      </w:r>
    </w:p>
    <w:p>
      <w:pPr>
        <w:pStyle w:val="BodyText"/>
      </w:pPr>
      <w:r>
        <w:t xml:space="preserve">$320,000</w:t>
      </w:r>
    </w:p>
    <w:p>
      <w:pPr>
        <w:pStyle w:val="BodyText"/>
      </w:pPr>
      <w:r>
        <w:t xml:space="preserve">Tehran-focused reports, Persian translations, video content</w:t>
      </w:r>
    </w:p>
    <w:p>
      <w:pPr>
        <w:pStyle w:val="BodyText"/>
      </w:pPr>
      <w:r>
        <w:t xml:space="preserve">Partnership Development</w:t>
      </w:r>
    </w:p>
    <w:p>
      <w:pPr>
        <w:pStyle w:val="BodyText"/>
      </w:pPr>
      <w:r>
        <w:t xml:space="preserve">$185,000</w:t>
      </w:r>
    </w:p>
    <w:p>
      <w:pPr>
        <w:pStyle w:val="BodyText"/>
      </w:pPr>
      <w:r>
        <w:t xml:space="preserve">University/Corporate agreements and event hosting</w:t>
      </w:r>
    </w:p>
    <w:p>
      <w:pPr>
        <w:pStyle w:val="BodyText"/>
      </w:pPr>
      <w:r>
        <w:t xml:space="preserve">Digital Infrastructure</w:t>
      </w:r>
    </w:p>
    <w:p>
      <w:pPr>
        <w:pStyle w:val="BodyText"/>
      </w:pPr>
      <w:r>
        <w:t xml:space="preserve">$205,000</w:t>
      </w:r>
    </w:p>
    <w:p>
      <w:pPr>
        <w:pStyle w:val="BodyText"/>
      </w:pPr>
      <w:r>
        <w:t xml:space="preserve">Payment gateway integration with local fintech partners</w:t>
      </w:r>
    </w:p>
    <w:p>
      <w:pPr>
        <w:pStyle w:val="BodyText"/>
      </w:pPr>
      <w:r>
        <w:t xml:space="preserve">Targeted Digital Marketing</w:t>
      </w:r>
    </w:p>
    <w:p>
      <w:pPr>
        <w:pStyle w:val="BodyText"/>
      </w:pPr>
      <w:r>
        <w:t xml:space="preserve">$140,000</w:t>
      </w:r>
    </w:p>
    <w:p>
      <w:pPr>
        <w:pStyle w:val="BodyText"/>
      </w:pPr>
      <w:r>
        <w:t xml:space="preserve">Tehran-specific LinkedIn campaigns and university campus promotions</w:t>
      </w:r>
    </w:p>
    <w:bookmarkEnd w:id="26"/>
    <w:bookmarkStart w:id="27" w:name="performance-measurement-adaptation"/>
    <w:p>
      <w:pPr>
        <w:pStyle w:val="Heading2"/>
      </w:pPr>
      <w:r>
        <w:t xml:space="preserve">Performance Measurement &amp; Adaptation</w:t>
      </w:r>
    </w:p>
    <w:p>
      <w:pPr>
        <w:pStyle w:val="FirstParagraph"/>
      </w:pPr>
      <w:r>
        <w:t xml:space="preserve">We will track real-time metrics through:</w:t>
      </w:r>
    </w:p>
    <w:p>
      <w:pPr>
        <w:numPr>
          <w:ilvl w:val="0"/>
          <w:numId w:val="1006"/>
        </w:numPr>
        <w:pStyle w:val="Compact"/>
      </w:pPr>
      <w:r>
        <w:rPr>
          <w:iCs/>
          <w:i/>
        </w:rPr>
        <w:t xml:space="preserve">Subscription Growth Rate:</w:t>
      </w:r>
      <w:r>
        <w:t xml:space="preserve"> </w:t>
      </w:r>
      <w:r>
        <w:t xml:space="preserve">Monthly tracking via Snapp's payment data portal (target: 30% MoM growth).</w:t>
      </w:r>
    </w:p>
    <w:p>
      <w:pPr>
        <w:numPr>
          <w:ilvl w:val="0"/>
          <w:numId w:val="1006"/>
        </w:numPr>
        <w:pStyle w:val="Compact"/>
      </w:pPr>
      <w:r>
        <w:rPr>
          <w:iCs/>
          <w:i/>
        </w:rPr>
        <w:t xml:space="preserve">Content Engagement:</w:t>
      </w:r>
      <w:r>
        <w:t xml:space="preserve"> </w:t>
      </w:r>
      <w:r>
        <w:t xml:space="preserve">Click-through rates on Tehran-specific articles (target: 45%+ vs. global average of 28%).</w:t>
      </w:r>
    </w:p>
    <w:p>
      <w:pPr>
        <w:numPr>
          <w:ilvl w:val="0"/>
          <w:numId w:val="1006"/>
        </w:numPr>
        <w:pStyle w:val="Compact"/>
      </w:pPr>
      <w:r>
        <w:rPr>
          <w:iCs/>
          <w:i/>
        </w:rPr>
        <w:t xml:space="preserve">Partner Impact:</w:t>
      </w:r>
      <w:r>
        <w:t xml:space="preserve"> </w:t>
      </w:r>
      <w:r>
        <w:t xml:space="preserve">Number of co-hosted events and institutional sign-ups (target: 15+ by Month 9).</w:t>
      </w:r>
    </w:p>
    <w:p>
      <w:pPr>
        <w:pStyle w:val="FirstParagraph"/>
      </w:pPr>
      <w:r>
        <w:t xml:space="preserve">Bi-monthly reviews with Tehran-based market analysts will ensure content relevance. If sanctions impact payment processing, we'll activate backup solutions like crypto-fiat bridges through verified local partners.</w:t>
      </w:r>
    </w:p>
    <w:bookmarkEnd w:id="27"/>
    <w:bookmarkStart w:id="28" w:name="X992266c4a05aa9d29295e0c363c232e79952c36"/>
    <w:p>
      <w:pPr>
        <w:pStyle w:val="Heading2"/>
      </w:pPr>
      <w:r>
        <w:t xml:space="preserve">Conclusion: Why This Plan Works for Iran Tehran</w:t>
      </w:r>
    </w:p>
    <w:p>
      <w:pPr>
        <w:pStyle w:val="FirstParagraph"/>
      </w:pPr>
      <w:r>
        <w:t xml:space="preserve">The Economist's entry into Iran Tehran represents a strategic pivot beyond traditional Western markets, leveraging our unique global authority to address a critical information gap in one of the Middle East's most dynamic economies. By embedding hyper-local relevance within our world-class analysis—through partnerships, payment innovation, and tailored content—we transform The Economist from an international publication into Tehran's essential economic compass. This Marketing Plan doesn't just sell subscriptions; it delivers actionable intelligence that empowers Iran's elite to navigate complexity with confidence. In a market where quality economic insight directly impacts national strategy, The Economist is positioned not as another media outlet, but as the indispensable partner for Tehran's decision-makers.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Iran Tehran</dc:title>
  <dc:creator/>
  <dc:language>en</dc:language>
  <cp:keywords/>
  <dcterms:created xsi:type="dcterms:W3CDTF">2026-07-23T20:06:09Z</dcterms:created>
  <dcterms:modified xsi:type="dcterms:W3CDTF">2026-07-23T20:06:09Z</dcterms:modified>
</cp:coreProperties>
</file>

<file path=docProps/custom.xml><?xml version="1.0" encoding="utf-8"?>
<Properties xmlns="http://schemas.openxmlformats.org/officeDocument/2006/custom-properties" xmlns:vt="http://schemas.openxmlformats.org/officeDocument/2006/docPropsVTypes"/>
</file>