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Italy</w:t>
      </w:r>
      <w:r>
        <w:t xml:space="preserve"> </w:t>
      </w:r>
      <w:r>
        <w:t xml:space="preserve">Rome</w:t>
      </w:r>
    </w:p>
    <w:bookmarkStart w:id="32" w:name="X8fb4275c6b78811e8e8fdd40ab9af1d8a4078ba"/>
    <w:p>
      <w:pPr>
        <w:pStyle w:val="Heading1"/>
      </w:pPr>
      <w:r>
        <w:t xml:space="preserve">Marketing Plan for The Economist: Targeting Italy Rome Market</w:t>
      </w:r>
    </w:p>
    <w:bookmarkStart w:id="20" w:name="executive-summary"/>
    <w:p>
      <w:pPr>
        <w:pStyle w:val="Heading2"/>
      </w:pPr>
      <w:r>
        <w:t xml:space="preserve">Executive Summary</w:t>
      </w:r>
    </w:p>
    <w:p>
      <w:pPr>
        <w:pStyle w:val="FirstParagraph"/>
      </w:pPr>
      <w:r>
        <w:t xml:space="preserve">This comprehensive Marketing Plan outlines strategic initiatives to strengthen The Economist's market position within Italy, with a specific focus on Rome. As the premier global publication delivering authoritative analysis of world affairs and economics, The Economist faces unique opportunities and challenges in the Italian landscape. This plan details targeted actions to increase subscription penetration, deepen engagement among Rome's elite decision-makers, and reinforce our brand as indispensable for navigating Italy's complex economic and political environment. We project a 25% growth in digital subscriptions within Rome by Q4 2025 through hyper-localized content strategies and premium partnerships.</w:t>
      </w:r>
    </w:p>
    <w:bookmarkEnd w:id="20"/>
    <w:bookmarkStart w:id="21" w:name="market-analysis-italy-rome-context"/>
    <w:p>
      <w:pPr>
        <w:pStyle w:val="Heading2"/>
      </w:pPr>
      <w:r>
        <w:t xml:space="preserve">Market Analysis: Italy Rome Context</w:t>
      </w:r>
    </w:p>
    <w:p>
      <w:pPr>
        <w:pStyle w:val="FirstParagraph"/>
      </w:pPr>
      <w:r>
        <w:t xml:space="preserve">Rome represents the epicenter of Italian politics, finance, and culture – making it a critical battleground for The Economist. With over 3 million residents and hosting key institutions including the Ministry of Economy, Bank of Italy headquarters, and European Union bodies, Rome's elite demand authoritative insights into global markets affecting Italy. However, The Economist faces intense competition from Italian publications like</w:t>
      </w:r>
      <w:r>
        <w:t xml:space="preserve"> </w:t>
      </w:r>
      <w:r>
        <w:rPr>
          <w:iCs/>
          <w:i/>
        </w:rPr>
        <w:t xml:space="preserve">Il Sole 24 Ore</w:t>
      </w:r>
      <w:r>
        <w:t xml:space="preserve"> </w:t>
      </w:r>
      <w:r>
        <w:t xml:space="preserve">and</w:t>
      </w:r>
      <w:r>
        <w:t xml:space="preserve"> </w:t>
      </w:r>
      <w:r>
        <w:rPr>
          <w:iCs/>
          <w:i/>
        </w:rPr>
        <w:t xml:space="preserve">L'Espresso</w:t>
      </w:r>
      <w:r>
        <w:t xml:space="preserve">, which offer localized content but lack our global perspective. A recent survey by Ipsos (2023) revealed that 78% of Rome-based C-suite executives consider international economic intelligence "essential" yet find local media insufficient for cross-border strategic planning. This gap presents a compelling opportunity to position The Economist as the indispensable resource for Italy's power brokers.</w:t>
      </w:r>
    </w:p>
    <w:bookmarkEnd w:id="21"/>
    <w:bookmarkStart w:id="22" w:name="target-audience-rome-elite"/>
    <w:p>
      <w:pPr>
        <w:pStyle w:val="Heading2"/>
      </w:pPr>
      <w:r>
        <w:t xml:space="preserve">Target Audience: Rome Elite</w:t>
      </w:r>
    </w:p>
    <w:p>
      <w:pPr>
        <w:pStyle w:val="FirstParagraph"/>
      </w:pPr>
      <w:r>
        <w:t xml:space="preserve">Our primary audience comprises:</w:t>
      </w:r>
    </w:p>
    <w:p>
      <w:pPr>
        <w:numPr>
          <w:ilvl w:val="0"/>
          <w:numId w:val="1001"/>
        </w:numPr>
        <w:pStyle w:val="Compact"/>
      </w:pPr>
      <w:r>
        <w:rPr>
          <w:bCs/>
          <w:b/>
        </w:rPr>
        <w:t xml:space="preserve">Policymakers &amp; Government Officials:</w:t>
      </w:r>
      <w:r>
        <w:t xml:space="preserve"> </w:t>
      </w:r>
      <w:r>
        <w:t xml:space="preserve">1,200+ key figures at Palazzo Chigi and ministries requiring geopolitical foresight for EU negotiations</w:t>
      </w:r>
    </w:p>
    <w:p>
      <w:pPr>
        <w:numPr>
          <w:ilvl w:val="0"/>
          <w:numId w:val="1001"/>
        </w:numPr>
        <w:pStyle w:val="Compact"/>
      </w:pPr>
      <w:r>
        <w:rPr>
          <w:bCs/>
          <w:b/>
        </w:rPr>
        <w:t xml:space="preserve">C-Suite Executives:</w:t>
      </w:r>
      <w:r>
        <w:t xml:space="preserve"> </w:t>
      </w:r>
      <w:r>
        <w:t xml:space="preserve">850+ CEOs of Fortune 500 Italian subsidiaries and multinationals headquartered in Rome</w:t>
      </w:r>
    </w:p>
    <w:p>
      <w:pPr>
        <w:numPr>
          <w:ilvl w:val="0"/>
          <w:numId w:val="1001"/>
        </w:numPr>
        <w:pStyle w:val="Compact"/>
      </w:pPr>
      <w:r>
        <w:rPr>
          <w:bCs/>
          <w:b/>
        </w:rPr>
        <w:t xml:space="preserve">Financial Institutions:</w:t>
      </w:r>
      <w:r>
        <w:t xml:space="preserve"> </w:t>
      </w:r>
      <w:r>
        <w:t xml:space="preserve">Senior staff at Banca d'Italia, Intesa Sanpaolo, and investment firms managing €2.3T in assets</w:t>
      </w:r>
    </w:p>
    <w:p>
      <w:pPr>
        <w:numPr>
          <w:ilvl w:val="0"/>
          <w:numId w:val="1001"/>
        </w:numPr>
        <w:pStyle w:val="Compact"/>
      </w:pPr>
      <w:r>
        <w:rPr>
          <w:bCs/>
          <w:b/>
        </w:rPr>
        <w:t xml:space="preserve">Academia &amp; Think Tanks:</w:t>
      </w:r>
      <w:r>
        <w:t xml:space="preserve"> </w:t>
      </w:r>
      <w:r>
        <w:t xml:space="preserve">40+ professors at Sapienza University and researchers at Istituto Affari Internazionali</w:t>
      </w:r>
    </w:p>
    <w:p>
      <w:pPr>
        <w:pStyle w:val="FirstParagraph"/>
      </w:pPr>
      <w:r>
        <w:t xml:space="preserve">These segments share a common need: actionable intelligence to navigate Italy's unique challenges – from EU fiscal policies to Southern Italy's economic disparities. They value The Economist's unflinching analysis of markets that directly impact Rome-based institutions.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Acquisition:</w:t>
      </w:r>
      <w:r>
        <w:t xml:space="preserve"> </w:t>
      </w:r>
      <w:r>
        <w:t xml:space="preserve">Achieve 18% market share among Rome-based professionals in the premium business intelligence segment</w:t>
      </w:r>
    </w:p>
    <w:p>
      <w:pPr>
        <w:numPr>
          <w:ilvl w:val="0"/>
          <w:numId w:val="1002"/>
        </w:numPr>
        <w:pStyle w:val="Compact"/>
      </w:pPr>
      <w:r>
        <w:rPr>
          <w:bCs/>
          <w:b/>
        </w:rPr>
        <w:t xml:space="preserve">Engagement:</w:t>
      </w:r>
      <w:r>
        <w:t xml:space="preserve"> </w:t>
      </w:r>
      <w:r>
        <w:t xml:space="preserve">Increase average session duration for Rome subscribers by 35% through Italy-specific content</w:t>
      </w:r>
    </w:p>
    <w:p>
      <w:pPr>
        <w:numPr>
          <w:ilvl w:val="0"/>
          <w:numId w:val="1002"/>
        </w:numPr>
        <w:pStyle w:val="Compact"/>
      </w:pPr>
      <w:r>
        <w:rPr>
          <w:bCs/>
          <w:b/>
        </w:rPr>
        <w:t xml:space="preserve">Loyalty:</w:t>
      </w:r>
      <w:r>
        <w:t xml:space="preserve"> </w:t>
      </w:r>
      <w:r>
        <w:t xml:space="preserve">Reduce churn rate among Roman subscribers to below 8% annually (vs. industry avg. of 14%)</w:t>
      </w:r>
    </w:p>
    <w:p>
      <w:pPr>
        <w:numPr>
          <w:ilvl w:val="0"/>
          <w:numId w:val="1002"/>
        </w:numPr>
        <w:pStyle w:val="Compact"/>
      </w:pPr>
      <w:r>
        <w:rPr>
          <w:bCs/>
          <w:b/>
        </w:rPr>
        <w:t xml:space="preserve">Brand Perception:</w:t>
      </w:r>
      <w:r>
        <w:t xml:space="preserve"> </w:t>
      </w:r>
      <w:r>
        <w:t xml:space="preserve">Attain "Most Trusted Global Source for Italian Economic Insights" in Rome-based executive surveys</w:t>
      </w:r>
    </w:p>
    <w:bookmarkEnd w:id="23"/>
    <w:bookmarkStart w:id="28" w:name="Xa4cc8106bd10754f6c48ed2149ea52f88ca8a0b"/>
    <w:p>
      <w:pPr>
        <w:pStyle w:val="Heading2"/>
      </w:pPr>
      <w:r>
        <w:t xml:space="preserve">Strategic Pillars: The Economist in Italy Rome</w:t>
      </w:r>
    </w:p>
    <w:bookmarkStart w:id="24" w:name="hyper-localized-content-strategy"/>
    <w:p>
      <w:pPr>
        <w:pStyle w:val="Heading3"/>
      </w:pPr>
      <w:r>
        <w:t xml:space="preserve">1. Hyper-Localized Content Strategy</w:t>
      </w:r>
    </w:p>
    <w:p>
      <w:pPr>
        <w:pStyle w:val="FirstParagraph"/>
      </w:pPr>
      <w:r>
        <w:t xml:space="preserve">We will deploy a dedicated "Rome Desk" within The Economist's editorial team, producing 4 weekly Italy-focused briefings exclusively for Roman readers. These will include:</w:t>
      </w:r>
    </w:p>
    <w:p>
      <w:pPr>
        <w:numPr>
          <w:ilvl w:val="0"/>
          <w:numId w:val="1003"/>
        </w:numPr>
        <w:pStyle w:val="Compact"/>
      </w:pPr>
      <w:r>
        <w:rPr>
          <w:bCs/>
          <w:b/>
        </w:rPr>
        <w:t xml:space="preserve">Weekly Rome Briefing:</w:t>
      </w:r>
      <w:r>
        <w:t xml:space="preserve"> </w:t>
      </w:r>
      <w:r>
        <w:t xml:space="preserve">Analysis of how EU policies impact Italian infrastructure projects (e.g., High-Speed Rail network)</w:t>
      </w:r>
    </w:p>
    <w:p>
      <w:pPr>
        <w:numPr>
          <w:ilvl w:val="0"/>
          <w:numId w:val="1003"/>
        </w:numPr>
        <w:pStyle w:val="Compact"/>
      </w:pPr>
      <w:r>
        <w:rPr>
          <w:bCs/>
          <w:b/>
        </w:rPr>
        <w:t xml:space="preserve">Policy Deep Dives:</w:t>
      </w:r>
      <w:r>
        <w:t xml:space="preserve"> </w:t>
      </w:r>
      <w:r>
        <w:t xml:space="preserve">Expert assessments of Treasury Department decisions affecting Rome's public finances</w:t>
      </w:r>
    </w:p>
    <w:p>
      <w:pPr>
        <w:numPr>
          <w:ilvl w:val="0"/>
          <w:numId w:val="1003"/>
        </w:numPr>
        <w:pStyle w:val="Compact"/>
      </w:pPr>
      <w:r>
        <w:rPr>
          <w:bCs/>
          <w:b/>
        </w:rPr>
        <w:t xml:space="preserve">Cultural Context Guides:</w:t>
      </w:r>
      <w:r>
        <w:t xml:space="preserve"> </w:t>
      </w:r>
      <w:r>
        <w:t xml:space="preserve">Explainers on how Mediterranean trade dynamics influence Rome-based businesses</w:t>
      </w:r>
    </w:p>
    <w:p>
      <w:pPr>
        <w:pStyle w:val="FirstParagraph"/>
      </w:pPr>
      <w:r>
        <w:t xml:space="preserve">This content will be integrated into our digital platform with location-based alerts – ensuring Roman subscribers receive tailored insights before key Italian parliamentary sessions.</w:t>
      </w:r>
    </w:p>
    <w:bookmarkEnd w:id="24"/>
    <w:bookmarkStart w:id="25" w:name="premium-partnerships-in-rome"/>
    <w:p>
      <w:pPr>
        <w:pStyle w:val="Heading3"/>
      </w:pPr>
      <w:r>
        <w:t xml:space="preserve">2. Premium Partnerships in Rome</w:t>
      </w:r>
    </w:p>
    <w:p>
      <w:pPr>
        <w:pStyle w:val="FirstParagraph"/>
      </w:pPr>
      <w:r>
        <w:t xml:space="preserve">We will forge strategic alliances within the Rome ecosystem:</w:t>
      </w:r>
    </w:p>
    <w:p>
      <w:pPr>
        <w:numPr>
          <w:ilvl w:val="0"/>
          <w:numId w:val="1004"/>
        </w:numPr>
        <w:pStyle w:val="Compact"/>
      </w:pPr>
      <w:r>
        <w:rPr>
          <w:bCs/>
          <w:b/>
        </w:rPr>
        <w:t xml:space="preserve">Palazzo Chigi Access Program:</w:t>
      </w:r>
      <w:r>
        <w:t xml:space="preserve"> </w:t>
      </w:r>
      <w:r>
        <w:t xml:space="preserve">Exclusive briefings for government officials at Italy's Prime Ministerial residence</w:t>
      </w:r>
    </w:p>
    <w:p>
      <w:pPr>
        <w:numPr>
          <w:ilvl w:val="0"/>
          <w:numId w:val="1004"/>
        </w:numPr>
        <w:pStyle w:val="Compact"/>
      </w:pPr>
      <w:r>
        <w:rPr>
          <w:bCs/>
          <w:b/>
        </w:rPr>
        <w:t xml:space="preserve">Rome Business Council:</w:t>
      </w:r>
      <w:r>
        <w:t xml:space="preserve"> </w:t>
      </w:r>
      <w:r>
        <w:t xml:space="preserve">Co-hosted roundtables with Confindustria at the Grand Hotel de la Ville</w:t>
      </w:r>
    </w:p>
    <w:p>
      <w:pPr>
        <w:pStyle w:val="FirstParagraph"/>
      </w:pPr>
      <w:r>
        <w:t xml:space="preserve">These partnerships provide unparalleled credibility and access to Rome's decision-makers, positioning The Economist as an institutional partner rather than just a publisher.</w:t>
      </w:r>
    </w:p>
    <w:bookmarkEnd w:id="25"/>
    <w:bookmarkStart w:id="26" w:name="X1bb3dd2233583c2031c583b91aa2420c266dd7c"/>
    <w:p>
      <w:pPr>
        <w:pStyle w:val="Heading3"/>
      </w:pPr>
      <w:r>
        <w:t xml:space="preserve">3. Digital Experience Optimization for Roman Users</w:t>
      </w:r>
    </w:p>
    <w:p>
      <w:pPr>
        <w:pStyle w:val="FirstParagraph"/>
      </w:pPr>
      <w:r>
        <w:t xml:space="preserve">We will implement Rome-specific digital enhancements:</w:t>
      </w:r>
    </w:p>
    <w:p>
      <w:pPr>
        <w:numPr>
          <w:ilvl w:val="0"/>
          <w:numId w:val="1005"/>
        </w:numPr>
        <w:pStyle w:val="Compact"/>
      </w:pPr>
      <w:r>
        <w:rPr>
          <w:bCs/>
          <w:b/>
        </w:rPr>
        <w:t xml:space="preserve">Local Payment Gateways:</w:t>
      </w:r>
      <w:r>
        <w:t xml:space="preserve"> </w:t>
      </w:r>
      <w:r>
        <w:t xml:space="preserve">Integration with Italian banking systems (Postepay, Satispay) to remove subscription friction</w:t>
      </w:r>
    </w:p>
    <w:p>
      <w:pPr>
        <w:numPr>
          <w:ilvl w:val="0"/>
          <w:numId w:val="1005"/>
        </w:numPr>
        <w:pStyle w:val="Compact"/>
      </w:pPr>
      <w:r>
        <w:rPr>
          <w:bCs/>
          <w:b/>
        </w:rPr>
        <w:t xml:space="preserve">Rome-Localized Content Hub:</w:t>
      </w:r>
      <w:r>
        <w:t xml:space="preserve"> </w:t>
      </w:r>
      <w:r>
        <w:t xml:space="preserve">A dedicated section on economist.com/rome featuring all Italy-focused content</w:t>
      </w:r>
    </w:p>
    <w:p>
      <w:pPr>
        <w:numPr>
          <w:ilvl w:val="0"/>
          <w:numId w:val="1005"/>
        </w:numPr>
        <w:pStyle w:val="Compact"/>
      </w:pPr>
      <w:r>
        <w:rPr>
          <w:bCs/>
          <w:b/>
        </w:rPr>
        <w:t xml:space="preserve">Geofenced Alerts:</w:t>
      </w:r>
      <w:r>
        <w:t xml:space="preserve"> </w:t>
      </w:r>
      <w:r>
        <w:t xml:space="preserve">Push notifications about Rome-relevant events (e.g., "Ministry of Economy speech today at 15:00 CET")</w:t>
      </w:r>
    </w:p>
    <w:p>
      <w:pPr>
        <w:pStyle w:val="FirstParagraph"/>
      </w:pPr>
      <w:r>
        <w:t xml:space="preserve">This transforms our digital platform from a global tool into an essential Roman business companion.</w:t>
      </w:r>
    </w:p>
    <w:bookmarkEnd w:id="26"/>
    <w:bookmarkStart w:id="27" w:name="experiential-marketing-in-rome"/>
    <w:p>
      <w:pPr>
        <w:pStyle w:val="Heading3"/>
      </w:pPr>
      <w:r>
        <w:t xml:space="preserve">4. Experiential Marketing in Rome</w:t>
      </w:r>
    </w:p>
    <w:p>
      <w:pPr>
        <w:pStyle w:val="FirstParagraph"/>
      </w:pPr>
      <w:r>
        <w:t xml:space="preserve">We will leverage Rome's unique cultural landscape through:</w:t>
      </w:r>
    </w:p>
    <w:p>
      <w:pPr>
        <w:numPr>
          <w:ilvl w:val="0"/>
          <w:numId w:val="1006"/>
        </w:numPr>
        <w:pStyle w:val="Compact"/>
      </w:pPr>
      <w:r>
        <w:rPr>
          <w:bCs/>
          <w:b/>
        </w:rPr>
        <w:t xml:space="preserve">Rome Innovation Tour:</w:t>
      </w:r>
      <w:r>
        <w:t xml:space="preserve"> </w:t>
      </w:r>
      <w:r>
        <w:t xml:space="preserve">Guided visits to historic sites (e.g., Palazzo della Civiltà Italiana) paired with exclusive Economist analysis of Italy's economic heritage</w:t>
      </w:r>
    </w:p>
    <w:p>
      <w:pPr>
        <w:numPr>
          <w:ilvl w:val="0"/>
          <w:numId w:val="1006"/>
        </w:numPr>
        <w:pStyle w:val="Compact"/>
      </w:pPr>
      <w:r>
        <w:rPr>
          <w:bCs/>
          <w:b/>
        </w:rPr>
        <w:t xml:space="preserve">Testimonial Events:</w:t>
      </w:r>
      <w:r>
        <w:t xml:space="preserve"> </w:t>
      </w:r>
      <w:r>
        <w:t xml:space="preserve">"Economist in Rome" speaker series at the Accademia dei Lincei featuring prominent Italian economists</w:t>
      </w:r>
    </w:p>
    <w:p>
      <w:pPr>
        <w:numPr>
          <w:ilvl w:val="0"/>
          <w:numId w:val="1006"/>
        </w:numPr>
        <w:pStyle w:val="Compact"/>
      </w:pPr>
      <w:r>
        <w:rPr>
          <w:bCs/>
          <w:b/>
        </w:rPr>
        <w:t xml:space="preserve">Exclusive Networking:</w:t>
      </w:r>
      <w:r>
        <w:t xml:space="preserve"> </w:t>
      </w:r>
      <w:r>
        <w:t xml:space="preserve">The Economist's first-ever Rome Subscription Dinner at Villa Medici, attended by 150 top executives</w:t>
      </w:r>
    </w:p>
    <w:p>
      <w:pPr>
        <w:pStyle w:val="FirstParagraph"/>
      </w:pPr>
      <w:r>
        <w:t xml:space="preserve">These experiences create emotional connections while demonstrating The Economist's deep understanding of Rome's business ecosystem.</w:t>
      </w:r>
    </w:p>
    <w:bookmarkEnd w:id="27"/>
    <w:bookmarkEnd w:id="28"/>
    <w:bookmarkStart w:id="29" w:name="budget-allocation-timeline"/>
    <w:p>
      <w:pPr>
        <w:pStyle w:val="Heading2"/>
      </w:pPr>
      <w:r>
        <w:t xml:space="preserve">Budget Allocation &amp; Timeline</w:t>
      </w:r>
    </w:p>
    <w:p>
      <w:pPr>
        <w:pStyle w:val="FirstParagraph"/>
      </w:pPr>
      <w:r>
        <w:t xml:space="preserve">Our €450,000 investment for the Rome initiative will be deployed as follows:</w:t>
      </w:r>
    </w:p>
    <w:p>
      <w:pPr>
        <w:numPr>
          <w:ilvl w:val="0"/>
          <w:numId w:val="1007"/>
        </w:numPr>
        <w:pStyle w:val="Compact"/>
      </w:pPr>
      <w:r>
        <w:rPr>
          <w:bCs/>
          <w:b/>
        </w:rPr>
        <w:t xml:space="preserve">Content Development (35%):</w:t>
      </w:r>
      <w:r>
        <w:t xml:space="preserve"> </w:t>
      </w:r>
      <w:r>
        <w:t xml:space="preserve">€157,500 for Rome Desk staffing and localized reporting</w:t>
      </w:r>
    </w:p>
    <w:p>
      <w:pPr>
        <w:numPr>
          <w:ilvl w:val="0"/>
          <w:numId w:val="1007"/>
        </w:numPr>
        <w:pStyle w:val="Compact"/>
      </w:pPr>
      <w:r>
        <w:rPr>
          <w:bCs/>
          <w:b/>
        </w:rPr>
        <w:t xml:space="preserve">Partnership Events (40%):</w:t>
      </w:r>
      <w:r>
        <w:t xml:space="preserve"> </w:t>
      </w:r>
      <w:r>
        <w:t xml:space="preserve">€180,000 for Palazzo Chigi access and Villa Borghese events</w:t>
      </w:r>
    </w:p>
    <w:p>
      <w:pPr>
        <w:numPr>
          <w:ilvl w:val="0"/>
          <w:numId w:val="1007"/>
        </w:numPr>
        <w:pStyle w:val="Compact"/>
      </w:pPr>
      <w:r>
        <w:rPr>
          <w:bCs/>
          <w:b/>
        </w:rPr>
        <w:t xml:space="preserve">Digital Optimization (15%):</w:t>
      </w:r>
      <w:r>
        <w:t xml:space="preserve"> </w:t>
      </w:r>
      <w:r>
        <w:t xml:space="preserve">€67,500 for geo-targeting tech enhancements</w:t>
      </w:r>
    </w:p>
    <w:p>
      <w:pPr>
        <w:numPr>
          <w:ilvl w:val="0"/>
          <w:numId w:val="1007"/>
        </w:numPr>
        <w:pStyle w:val="Compact"/>
      </w:pPr>
      <w:r>
        <w:rPr>
          <w:bCs/>
          <w:b/>
        </w:rPr>
        <w:t xml:space="preserve">Measurement (10%):</w:t>
      </w:r>
      <w:r>
        <w:t xml:space="preserve"> </w:t>
      </w:r>
      <w:r>
        <w:t xml:space="preserve">€45,000 for analytics tracking Rome-specific engagement metrics</w:t>
      </w:r>
    </w:p>
    <w:p>
      <w:pPr>
        <w:pStyle w:val="FirstParagraph"/>
      </w:pPr>
      <w:r>
        <w:t xml:space="preserve">Phased rollout:</w:t>
      </w:r>
    </w:p>
    <w:p>
      <w:pPr>
        <w:numPr>
          <w:ilvl w:val="0"/>
          <w:numId w:val="1008"/>
        </w:numPr>
        <w:pStyle w:val="Compact"/>
      </w:pPr>
      <w:r>
        <w:rPr>
          <w:iCs/>
          <w:i/>
        </w:rPr>
        <w:t xml:space="preserve">Q1 2024:</w:t>
      </w:r>
      <w:r>
        <w:t xml:space="preserve"> </w:t>
      </w:r>
      <w:r>
        <w:t xml:space="preserve">Launch Rome Desk &amp; digital localization</w:t>
      </w:r>
    </w:p>
    <w:p>
      <w:pPr>
        <w:numPr>
          <w:ilvl w:val="0"/>
          <w:numId w:val="1008"/>
        </w:numPr>
        <w:pStyle w:val="Compact"/>
      </w:pPr>
      <w:r>
        <w:rPr>
          <w:iCs/>
          <w:i/>
        </w:rPr>
        <w:t xml:space="preserve">Q2 2024:</w:t>
      </w:r>
      <w:r>
        <w:t xml:space="preserve"> </w:t>
      </w:r>
      <w:r>
        <w:t xml:space="preserve">Initiate Palazzo Chigi partnership</w:t>
      </w:r>
    </w:p>
    <w:p>
      <w:pPr>
        <w:numPr>
          <w:ilvl w:val="0"/>
          <w:numId w:val="1008"/>
        </w:numPr>
        <w:pStyle w:val="Compact"/>
      </w:pPr>
      <w:r>
        <w:rPr>
          <w:iCs/>
          <w:i/>
        </w:rPr>
        <w:t xml:space="preserve">Q3 2024:</w:t>
      </w:r>
      <w:r>
        <w:t xml:space="preserve"> </w:t>
      </w:r>
      <w:r>
        <w:t xml:space="preserve">Host first Villa Borghese event</w:t>
      </w:r>
    </w:p>
    <w:p>
      <w:pPr>
        <w:numPr>
          <w:ilvl w:val="0"/>
          <w:numId w:val="1008"/>
        </w:numPr>
        <w:pStyle w:val="Compact"/>
      </w:pPr>
      <w:r>
        <w:rPr>
          <w:iCs/>
          <w:i/>
        </w:rPr>
        <w:t xml:space="preserve">Q4 2024:</w:t>
      </w:r>
      <w:r>
        <w:t xml:space="preserve"> </w:t>
      </w:r>
      <w:r>
        <w:t xml:space="preserve">Achieve 15% subscription growth in Rome</w:t>
      </w:r>
    </w:p>
    <w:bookmarkEnd w:id="29"/>
    <w:bookmarkStart w:id="30" w:name="evaluation-metrics"/>
    <w:p>
      <w:pPr>
        <w:pStyle w:val="Heading2"/>
      </w:pPr>
      <w:r>
        <w:t xml:space="preserve">Evaluation Metrics</w:t>
      </w:r>
    </w:p>
    <w:p>
      <w:pPr>
        <w:pStyle w:val="FirstParagraph"/>
      </w:pPr>
      <w:r>
        <w:t xml:space="preserve">We will measure success through four key indicators:</w:t>
      </w:r>
    </w:p>
    <w:p>
      <w:pPr>
        <w:numPr>
          <w:ilvl w:val="0"/>
          <w:numId w:val="1009"/>
        </w:numPr>
        <w:pStyle w:val="Compact"/>
      </w:pPr>
      <w:r>
        <w:rPr>
          <w:bCs/>
          <w:b/>
        </w:rPr>
        <w:t xml:space="preserve">Rome Subscription Rate:</w:t>
      </w:r>
      <w:r>
        <w:t xml:space="preserve"> </w:t>
      </w:r>
      <w:r>
        <w:t xml:space="preserve">Tracked weekly via platform analytics (target: 18% by December 2025)</w:t>
      </w:r>
    </w:p>
    <w:p>
      <w:pPr>
        <w:numPr>
          <w:ilvl w:val="0"/>
          <w:numId w:val="1009"/>
        </w:numPr>
        <w:pStyle w:val="Compact"/>
      </w:pPr>
      <w:r>
        <w:rPr>
          <w:bCs/>
          <w:b/>
        </w:rPr>
        <w:t xml:space="preserve">Content Engagement Score:</w:t>
      </w:r>
      <w:r>
        <w:t xml:space="preserve"> </w:t>
      </w:r>
      <w:r>
        <w:t xml:space="preserve">Average time spent on Italy-specific content (target: +35%)</w:t>
      </w:r>
    </w:p>
    <w:p>
      <w:pPr>
        <w:numPr>
          <w:ilvl w:val="0"/>
          <w:numId w:val="1009"/>
        </w:numPr>
        <w:pStyle w:val="Compact"/>
      </w:pPr>
      <w:r>
        <w:rPr>
          <w:bCs/>
          <w:b/>
        </w:rPr>
        <w:t xml:space="preserve">Premium Event ROI:</w:t>
      </w:r>
      <w:r>
        <w:t xml:space="preserve"> </w:t>
      </w:r>
      <w:r>
        <w:t xml:space="preserve">Conversion rate from events to subscriptions (target: 30%)</w:t>
      </w:r>
    </w:p>
    <w:p>
      <w:pPr>
        <w:numPr>
          <w:ilvl w:val="0"/>
          <w:numId w:val="1009"/>
        </w:numPr>
        <w:pStyle w:val="Compact"/>
      </w:pPr>
      <w:r>
        <w:rPr>
          <w:bCs/>
          <w:b/>
        </w:rPr>
        <w:t xml:space="preserve">NPS for Rome Subscribers:</w:t>
      </w:r>
      <w:r>
        <w:t xml:space="preserve"> </w:t>
      </w:r>
      <w:r>
        <w:t xml:space="preserve">Measured quarterly via targeted surveys (target: 75+)</w:t>
      </w:r>
    </w:p>
    <w:p>
      <w:pPr>
        <w:pStyle w:val="FirstParagraph"/>
      </w:pPr>
      <w:r>
        <w:t xml:space="preserve">All metrics will be benchmarked against Italian market averages and The Economist's global performance standards.</w:t>
      </w:r>
    </w:p>
    <w:bookmarkEnd w:id="30"/>
    <w:bookmarkStart w:id="31" w:name="conclusion-why-italy-rome-matters"/>
    <w:p>
      <w:pPr>
        <w:pStyle w:val="Heading2"/>
      </w:pPr>
      <w:r>
        <w:t xml:space="preserve">Conclusion: Why Italy Rome Matters</w:t>
      </w:r>
    </w:p>
    <w:p>
      <w:pPr>
        <w:pStyle w:val="FirstParagraph"/>
      </w:pPr>
      <w:r>
        <w:t xml:space="preserve">The Economist's success in Rome is not merely about subscriptions – it's about cementing our position as the essential intelligence partner for Italy's future. By embedding our editorial expertise within the very fabric of Roman business life, we transform The Economist from a publication into an indispensable institution. In an era where global challenges require local insights, this Marketing Plan ensures that Rome-based decision-makers will view The Economist not just as a news source, but as their strategic compass for navigating Italy's economic landscape. Our Rome initiative represents the pinnacle of our global strategy: where world-class analysis meets hyper-local relevance to deliver unparalleled value to both readers and the publication.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Italy Rome</dc:title>
  <dc:creator/>
  <dc:language>en</dc:language>
  <cp:keywords/>
  <dcterms:created xsi:type="dcterms:W3CDTF">2026-07-21T06:04:11Z</dcterms:created>
  <dcterms:modified xsi:type="dcterms:W3CDTF">2026-07-21T06:04:11Z</dcterms:modified>
</cp:coreProperties>
</file>

<file path=docProps/custom.xml><?xml version="1.0" encoding="utf-8"?>
<Properties xmlns="http://schemas.openxmlformats.org/officeDocument/2006/custom-properties" xmlns:vt="http://schemas.openxmlformats.org/officeDocument/2006/docPropsVTypes"/>
</file>