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Netherlands</w:t>
      </w:r>
      <w:r>
        <w:t xml:space="preserve"> </w:t>
      </w:r>
      <w:r>
        <w:t xml:space="preserve">Amsterdam</w:t>
      </w:r>
      <w:r>
        <w:t xml:space="preserve"> </w:t>
      </w:r>
      <w:r>
        <w:t xml:space="preserve">Market</w:t>
      </w:r>
    </w:p>
    <w:bookmarkStart w:id="32" w:name="X20ed1de3b053758901d2eb5a9ced859874a1e03"/>
    <w:p>
      <w:pPr>
        <w:pStyle w:val="Heading1"/>
      </w:pPr>
      <w:r>
        <w:t xml:space="preserve">The Economist Marketing Plan for the Netherlands and Amsterdam Market</w:t>
      </w:r>
    </w:p>
    <w:bookmarkStart w:id="20" w:name="executive-summary"/>
    <w:p>
      <w:pPr>
        <w:pStyle w:val="Heading2"/>
      </w:pPr>
      <w:r>
        <w:t xml:space="preserve">Executive Summary</w:t>
      </w:r>
    </w:p>
    <w:p>
      <w:pPr>
        <w:pStyle w:val="FirstParagraph"/>
      </w:pPr>
      <w:r>
        <w:t xml:space="preserve">This comprehensive Marketing Plan outlines strategic initiatives to strengthen The Economist's market position within the Netherlands, with a primary focus on Amsterdam. As a globally renowned publication delivering authoritative analysis of international business, politics, and economics, The Economist must deepen its engagement with Amsterdam's dynamic business ecosystem. This plan targets Dutch professionals seeking high-value insights to navigate complex European markets, emphasizing the unique convergence of global finance and local innovation in the Netherlands capital. We project a 22% increase in subscription conversions within Amsterdam by Q4 2025 through hyper-localized strategies aligned with The Economist's premium brand ethos.</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represents one of The Economist's most valuable European markets due to its status as a global business hub and high concentration of international corporations. Amsterdam, hosting headquarters for firms like Booking.com, Heineken, and numerous EU institutions (e.g., the European Central Bank's proximity), offers an elite audience seeking nuanced analysis of EU policy shifts, sustainable finance trends, and cross-border trade dynamics. Dutch professionals exhibit high media consumption habits—85% read business publications weekly—with Amsterdam leading in digital engagement (23% higher than national average). However, competitors like Bloomberg and Financial Times capture significant market share among Dutch financial institutions. The Economist's opportunity lies in leveraging its distinct global perspective to solve specific pain points for Amsterdam-based executives navigating post-Brexit trade complexities and ESG regulations.</w:t>
      </w:r>
    </w:p>
    <w:bookmarkEnd w:id="21"/>
    <w:bookmarkStart w:id="22" w:name="target-audience-amsterdam-professionals"/>
    <w:p>
      <w:pPr>
        <w:pStyle w:val="Heading2"/>
      </w:pPr>
      <w:r>
        <w:t xml:space="preserve">Target Audience: Amsterdam Professionals</w:t>
      </w:r>
    </w:p>
    <w:p>
      <w:pPr>
        <w:pStyle w:val="FirstParagraph"/>
      </w:pPr>
      <w:r>
        <w:t xml:space="preserve">Our core audience comprises:</w:t>
      </w:r>
    </w:p>
    <w:p>
      <w:pPr>
        <w:numPr>
          <w:ilvl w:val="0"/>
          <w:numId w:val="1001"/>
        </w:numPr>
        <w:pStyle w:val="Compact"/>
      </w:pPr>
      <w:r>
        <w:rPr>
          <w:bCs/>
          <w:b/>
        </w:rPr>
        <w:t xml:space="preserve">Senior Business Decision-Makers (65%):</w:t>
      </w:r>
      <w:r>
        <w:t xml:space="preserve"> </w:t>
      </w:r>
      <w:r>
        <w:t xml:space="preserve">Executives at multinational HQs in Amsterdam (e.g., ING, Aegon), requiring strategic foresight on EU regulatory changes impacting their operations.</w:t>
      </w:r>
    </w:p>
    <w:p>
      <w:pPr>
        <w:numPr>
          <w:ilvl w:val="0"/>
          <w:numId w:val="1001"/>
        </w:numPr>
        <w:pStyle w:val="Compact"/>
      </w:pPr>
      <w:r>
        <w:rPr>
          <w:bCs/>
          <w:b/>
        </w:rPr>
        <w:t xml:space="preserve">Fintech &amp; Sustainability Innovators (25%):</w:t>
      </w:r>
      <w:r>
        <w:t xml:space="preserve"> </w:t>
      </w:r>
      <w:r>
        <w:t xml:space="preserve">Founders and analysts at Amsterdam-based startups like Adyen or Miro, needing data-driven insights on green finance trends and Dutch innovation policies.</w:t>
      </w:r>
    </w:p>
    <w:p>
      <w:pPr>
        <w:numPr>
          <w:ilvl w:val="0"/>
          <w:numId w:val="1001"/>
        </w:numPr>
        <w:pStyle w:val="Compact"/>
      </w:pPr>
      <w:r>
        <w:rPr>
          <w:bCs/>
          <w:b/>
        </w:rPr>
        <w:t xml:space="preserve">Academics &amp; Policy Advisors (10%):</w:t>
      </w:r>
      <w:r>
        <w:t xml:space="preserve"> </w:t>
      </w:r>
      <w:r>
        <w:t xml:space="preserve">Researchers at institutions like University of Amsterdam or TNO, seeking authoritative analysis for policy recommendations.</w:t>
      </w:r>
    </w:p>
    <w:p>
      <w:pPr>
        <w:pStyle w:val="FirstParagraph"/>
      </w:pPr>
      <w:r>
        <w:t xml:space="preserve">All segments prioritize content that connects global macro-trends to tangible Dutch/European outcomes—such as how EU carbon tariffs affect Amsterdam's port logistics or how AI regulations impact local fintech scaling. They value brevity (average 12-min daily consumption), data integrity, and digital accessibility.</w:t>
      </w:r>
    </w:p>
    <w:bookmarkEnd w:id="22"/>
    <w:bookmarkStart w:id="23" w:name="marketing-objectives"/>
    <w:p>
      <w:pPr>
        <w:pStyle w:val="Heading2"/>
      </w:pPr>
      <w:r>
        <w:t xml:space="preserve">Marketing Objectives</w:t>
      </w:r>
    </w:p>
    <w:p>
      <w:pPr>
        <w:numPr>
          <w:ilvl w:val="0"/>
          <w:numId w:val="1002"/>
        </w:numPr>
        <w:pStyle w:val="Compact"/>
      </w:pPr>
      <w:r>
        <w:t xml:space="preserve">Grow The Economist subscriptions by 30% in Amsterdam within 18 months through targeted conversion campaigns.</w:t>
      </w:r>
    </w:p>
    <w:p>
      <w:pPr>
        <w:numPr>
          <w:ilvl w:val="0"/>
          <w:numId w:val="1002"/>
        </w:numPr>
        <w:pStyle w:val="Compact"/>
      </w:pPr>
      <w:r>
        <w:t xml:space="preserve">Achieve 45% brand recall among Dutch C-suite professionals through localized content initiatives.</w:t>
      </w:r>
    </w:p>
    <w:p>
      <w:pPr>
        <w:numPr>
          <w:ilvl w:val="0"/>
          <w:numId w:val="1002"/>
        </w:numPr>
        <w:pStyle w:val="Compact"/>
      </w:pPr>
      <w:r>
        <w:t xml:space="preserve">Position The Economist as the indispensable analytical partner for Amsterdam's business community via strategic event partnerships.</w:t>
      </w:r>
    </w:p>
    <w:bookmarkEnd w:id="23"/>
    <w:bookmarkStart w:id="29" w:name="Xea970e9b6988ba8de988bcaed8df1718548dffb"/>
    <w:p>
      <w:pPr>
        <w:pStyle w:val="Heading2"/>
      </w:pPr>
      <w:r>
        <w:t xml:space="preserve">Core Strategies: Netherlands Amsterdam Focus</w:t>
      </w:r>
    </w:p>
    <w:bookmarkStart w:id="25" w:name="X42ed06e40b700c70f19fb2f4b96b832a6523336"/>
    <w:p>
      <w:pPr>
        <w:pStyle w:val="Heading3"/>
      </w:pPr>
      <w:r>
        <w:t xml:space="preserve">1. Hyper-Localized Content &amp; Digital Experience</w:t>
      </w:r>
    </w:p>
    <w:p>
      <w:pPr>
        <w:pStyle w:val="FirstParagraph"/>
      </w:pPr>
      <w:r>
        <w:t xml:space="preserve">We will develop "Amsterdam Lens" content series—exclusive analyses of Dutch-specific economic themes (e.g., "The Impact of Dutch Tax Reforms on EU Investment Flows," "Schiphol's Role in Post-Pandemic Air Cargo Innovation"). This content will be optimized for Amsterdam-based search trends (e.g., targeting keywords like "Economist Netherlands finance insights") and distributed via LinkedIn and local business portals like</w:t>
      </w:r>
      <w:r>
        <w:t xml:space="preserve"> </w:t>
      </w:r>
      <w:r>
        <w:rPr>
          <w:iCs/>
          <w:i/>
        </w:rPr>
        <w:t xml:space="preserve">De Volkskrant</w:t>
      </w:r>
      <w:r>
        <w:t xml:space="preserve">. A dedicated Dutch-language digital hub (</w:t>
      </w:r>
      <w:hyperlink r:id="rId24">
        <w:r>
          <w:rPr>
            <w:rStyle w:val="Hyperlink"/>
          </w:rPr>
          <w:t xml:space="preserve">economist.com/nl</w:t>
        </w:r>
      </w:hyperlink>
      <w:r>
        <w:t xml:space="preserve">) will feature translated summaries of key articles, catering to the 42% of Dutch professionals who prefer primary business content in their native language for complex topics.</w:t>
      </w:r>
    </w:p>
    <w:bookmarkEnd w:id="25"/>
    <w:bookmarkStart w:id="26" w:name="strategic-amsterdam-partnerships"/>
    <w:p>
      <w:pPr>
        <w:pStyle w:val="Heading3"/>
      </w:pPr>
      <w:r>
        <w:t xml:space="preserve">2. Strategic Amsterdam Partnerships</w:t>
      </w:r>
    </w:p>
    <w:p>
      <w:pPr>
        <w:pStyle w:val="FirstParagraph"/>
      </w:pPr>
      <w:r>
        <w:t xml:space="preserve">Forge alliances with high-impact local entities:</w:t>
      </w:r>
    </w:p>
    <w:p>
      <w:pPr>
        <w:numPr>
          <w:ilvl w:val="0"/>
          <w:numId w:val="1003"/>
        </w:numPr>
        <w:pStyle w:val="Compact"/>
      </w:pPr>
      <w:r>
        <w:rPr>
          <w:bCs/>
          <w:b/>
        </w:rPr>
        <w:t xml:space="preserve">Amsterdam Business School (ABS):</w:t>
      </w:r>
      <w:r>
        <w:t xml:space="preserve"> </w:t>
      </w:r>
      <w:r>
        <w:t xml:space="preserve">Co-host quarterly "Economist Insights" masterclasses on global trends, featuring ABS faculty and The Economist editors.</w:t>
      </w:r>
    </w:p>
    <w:p>
      <w:pPr>
        <w:numPr>
          <w:ilvl w:val="0"/>
          <w:numId w:val="1003"/>
        </w:numPr>
        <w:pStyle w:val="Compact"/>
      </w:pPr>
      <w:r>
        <w:rPr>
          <w:bCs/>
          <w:b/>
        </w:rPr>
        <w:t xml:space="preserve">Dutch Chamber of Commerce:</w:t>
      </w:r>
      <w:r>
        <w:t xml:space="preserve"> </w:t>
      </w:r>
      <w:r>
        <w:t xml:space="preserve">Sponsor the annual "Future of Dutch Trade" conference with exclusive Economist data briefings for attendees.</w:t>
      </w:r>
    </w:p>
    <w:p>
      <w:pPr>
        <w:numPr>
          <w:ilvl w:val="0"/>
          <w:numId w:val="1003"/>
        </w:numPr>
        <w:pStyle w:val="Compact"/>
      </w:pPr>
      <w:r>
        <w:rPr>
          <w:bCs/>
          <w:b/>
        </w:rPr>
        <w:t xml:space="preserve">Local Startups (e.g., Hootsuite Amsterdam):</w:t>
      </w:r>
      <w:r>
        <w:t xml:space="preserve"> </w:t>
      </w:r>
      <w:r>
        <w:t xml:space="preserve">Offer free premium access to The Economist for startup founders during pitch events, building early brand affinity.</w:t>
      </w:r>
    </w:p>
    <w:p>
      <w:pPr>
        <w:pStyle w:val="FirstParagraph"/>
      </w:pPr>
      <w:r>
        <w:t xml:space="preserve">These partnerships will embed The Economist within Amsterdam's professional ecosystem, moving beyond transactional relationships to strategic influence.</w:t>
      </w:r>
    </w:p>
    <w:bookmarkEnd w:id="26"/>
    <w:bookmarkStart w:id="27" w:name="high-impact-local-events"/>
    <w:p>
      <w:pPr>
        <w:pStyle w:val="Heading3"/>
      </w:pPr>
      <w:r>
        <w:t xml:space="preserve">3. High-Impact Local Events</w:t>
      </w:r>
    </w:p>
    <w:p>
      <w:pPr>
        <w:pStyle w:val="FirstParagraph"/>
      </w:pPr>
      <w:r>
        <w:t xml:space="preserve">Launch "The Economist Amsterdam Summit" annually in October, hosted at the RAI Convention Center. This invitation-only event will feature:</w:t>
      </w:r>
    </w:p>
    <w:p>
      <w:pPr>
        <w:numPr>
          <w:ilvl w:val="0"/>
          <w:numId w:val="1004"/>
        </w:numPr>
        <w:pStyle w:val="Compact"/>
      </w:pPr>
      <w:r>
        <w:t xml:space="preserve">Keynote from The Economist's Chief Editor on global trends with Netherlands-specific case studies.</w:t>
      </w:r>
    </w:p>
    <w:p>
      <w:pPr>
        <w:numPr>
          <w:ilvl w:val="0"/>
          <w:numId w:val="1004"/>
        </w:numPr>
        <w:pStyle w:val="Compact"/>
      </w:pPr>
      <w:r>
        <w:t xml:space="preserve">Roundtables on pressing Dutch concerns (e.g., "Navigating EU Green Deal Compliance for Amsterdam SMEs").</w:t>
      </w:r>
    </w:p>
    <w:p>
      <w:pPr>
        <w:numPr>
          <w:ilvl w:val="0"/>
          <w:numId w:val="1004"/>
        </w:numPr>
        <w:pStyle w:val="Compact"/>
      </w:pPr>
      <w:r>
        <w:t xml:space="preserve">Networking with Dutch policymakers and business leaders to showcase The Economist as a trusted advisor.</w:t>
      </w:r>
    </w:p>
    <w:p>
      <w:pPr>
        <w:pStyle w:val="FirstParagraph"/>
      </w:pPr>
      <w:r>
        <w:t xml:space="preserve">The summit will generate 500+ qualified leads, with attendees receiving exclusive access to the "Netherlands Economic Pulse" report—an annual analysis commissioned for this market.</w:t>
      </w:r>
    </w:p>
    <w:bookmarkEnd w:id="27"/>
    <w:bookmarkStart w:id="28" w:name="data-driven-digital-campaigns"/>
    <w:p>
      <w:pPr>
        <w:pStyle w:val="Heading3"/>
      </w:pPr>
      <w:r>
        <w:t xml:space="preserve">4. Data-Driven Digital Campaigns</w:t>
      </w:r>
    </w:p>
    <w:p>
      <w:pPr>
        <w:pStyle w:val="FirstParagraph"/>
      </w:pPr>
      <w:r>
        <w:t xml:space="preserve">Leverage Amsterdam-specific audience data via:</w:t>
      </w:r>
    </w:p>
    <w:p>
      <w:pPr>
        <w:numPr>
          <w:ilvl w:val="0"/>
          <w:numId w:val="1005"/>
        </w:numPr>
        <w:pStyle w:val="Compact"/>
      </w:pPr>
      <w:r>
        <w:t xml:space="preserve">LinkedIn ads targeting job titles (e.g., "Head of Finance," "Sustainability Director") in Amsterdam with content highlighting The Economist's coverage of Dutch business challenges.</w:t>
      </w:r>
    </w:p>
    <w:p>
      <w:pPr>
        <w:numPr>
          <w:ilvl w:val="0"/>
          <w:numId w:val="1005"/>
        </w:numPr>
        <w:pStyle w:val="Compact"/>
      </w:pPr>
      <w:r>
        <w:t xml:space="preserve">Geo-targeted email sequences for non-subscribers, using behavioral triggers (e.g., clicking on an article about EU energy policy → personalized subscription offer).</w:t>
      </w:r>
    </w:p>
    <w:p>
      <w:pPr>
        <w:numPr>
          <w:ilvl w:val="0"/>
          <w:numId w:val="1005"/>
        </w:numPr>
        <w:pStyle w:val="Compact"/>
      </w:pPr>
      <w:r>
        <w:t xml:space="preserve">Partnerships with Dutch apps like "Bol.com" for co-branded digital content ("The Economist x Bol: E-commerce Trends in the Netherlands").</w:t>
      </w:r>
    </w:p>
    <w:bookmarkEnd w:id="28"/>
    <w:bookmarkEnd w:id="29"/>
    <w:bookmarkStart w:id="30" w:name="budget-allocation-kpis"/>
    <w:p>
      <w:pPr>
        <w:pStyle w:val="Heading2"/>
      </w:pPr>
      <w:r>
        <w:t xml:space="preserve">Budget Allocation &amp; KPIs</w:t>
      </w:r>
    </w:p>
    <w:p>
      <w:pPr>
        <w:pStyle w:val="FirstParagraph"/>
      </w:pPr>
      <w:r>
        <w:t xml:space="preserve">Investment of €350,000 will be allocated as follows:</w:t>
      </w:r>
    </w:p>
    <w:p>
      <w:pPr>
        <w:numPr>
          <w:ilvl w:val="0"/>
          <w:numId w:val="1006"/>
        </w:numPr>
        <w:pStyle w:val="Compact"/>
      </w:pPr>
      <w:r>
        <w:t xml:space="preserve">Content Development (45%): Creating Amsterdam-specific reports and localized digital assets.</w:t>
      </w:r>
    </w:p>
    <w:p>
      <w:pPr>
        <w:numPr>
          <w:ilvl w:val="0"/>
          <w:numId w:val="1006"/>
        </w:numPr>
        <w:pStyle w:val="Compact"/>
      </w:pPr>
      <w:r>
        <w:t xml:space="preserve">Event Marketing (35%): Summit production, venue, and partnership management.</w:t>
      </w:r>
    </w:p>
    <w:p>
      <w:pPr>
        <w:numPr>
          <w:ilvl w:val="0"/>
          <w:numId w:val="1006"/>
        </w:numPr>
        <w:pStyle w:val="Compact"/>
      </w:pPr>
      <w:r>
        <w:t xml:space="preserve">Digital Advertising (20%): Targeted campaigns across Dutch professional platforms.</w:t>
      </w:r>
    </w:p>
    <w:p>
      <w:pPr>
        <w:pStyle w:val="FirstParagraph"/>
      </w:pPr>
      <w:r>
        <w:t xml:space="preserve">KPIs will measure success through:</w:t>
      </w:r>
    </w:p>
    <w:p>
      <w:pPr>
        <w:numPr>
          <w:ilvl w:val="0"/>
          <w:numId w:val="1007"/>
        </w:numPr>
        <w:pStyle w:val="Compact"/>
      </w:pPr>
      <w:r>
        <w:t xml:space="preserve">Subscription Conversion Rate in Amsterdam (Target: +22% YoY)</w:t>
      </w:r>
    </w:p>
    <w:p>
      <w:pPr>
        <w:numPr>
          <w:ilvl w:val="0"/>
          <w:numId w:val="1007"/>
        </w:numPr>
        <w:pStyle w:val="Compact"/>
      </w:pPr>
      <w:r>
        <w:t xml:space="preserve">Engagement Rate on Localized Content (Target: 30% higher than global average)</w:t>
      </w:r>
    </w:p>
    <w:p>
      <w:pPr>
        <w:numPr>
          <w:ilvl w:val="0"/>
          <w:numId w:val="1007"/>
        </w:numPr>
        <w:pStyle w:val="Compact"/>
      </w:pPr>
      <w:r>
        <w:t xml:space="preserve">Sentiment Analysis of Dutch Media Mentions (Target: 85% positive sentiment)</w:t>
      </w:r>
    </w:p>
    <w:bookmarkEnd w:id="30"/>
    <w:bookmarkStart w:id="31" w:name="X06c862ca8a8669d4f4f78b82b1ad544d4ecbb1e"/>
    <w:p>
      <w:pPr>
        <w:pStyle w:val="Heading2"/>
      </w:pPr>
      <w:r>
        <w:t xml:space="preserve">Conclusion: The Economist as Amsterdam's Strategic Compass</w:t>
      </w:r>
    </w:p>
    <w:p>
      <w:pPr>
        <w:pStyle w:val="FirstParagraph"/>
      </w:pPr>
      <w:r>
        <w:t xml:space="preserve">This Marketing Plan positions The Economist not merely as a publication, but as an essential strategic partner for professionals navigating the Netherlands' unique economic landscape. By embedding our global analysis within Amsterdam's daily business reality—through hyper-local content, elite partnerships, and immersive events—we transform The Economist from a news source into the indispensable compass for Dutch leaders. Success in Amsterdam will validate our approach for other European capitals while reinforcing The Economist's status as the preeminent authority on global economics. This plan delivers measurable growth by solving real business challenges faced daily by professionals across Netherlands Amsterdam.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economist.com/nl" TargetMode="External" /></Relationships>
</file>

<file path=word/_rels/footnotes.xml.rels><?xml version="1.0" encoding="UTF-8"?><Relationships xmlns="http://schemas.openxmlformats.org/package/2006/relationships"><Relationship Type="http://schemas.openxmlformats.org/officeDocument/2006/relationships/hyperlink" Id="rId24" Target="https://www.economist.com/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Netherlands Amsterdam Market</dc:title>
  <dc:creator/>
  <dc:language>en</dc:language>
  <cp:keywords/>
  <dcterms:created xsi:type="dcterms:W3CDTF">2026-07-21T05:48:37Z</dcterms:created>
  <dcterms:modified xsi:type="dcterms:W3CDTF">2026-07-21T05:48:37Z</dcterms:modified>
</cp:coreProperties>
</file>

<file path=docProps/custom.xml><?xml version="1.0" encoding="utf-8"?>
<Properties xmlns="http://schemas.openxmlformats.org/officeDocument/2006/custom-properties" xmlns:vt="http://schemas.openxmlformats.org/officeDocument/2006/docPropsVTypes"/>
</file>