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Russia</w:t>
      </w:r>
      <w:r>
        <w:t xml:space="preserve"> </w:t>
      </w:r>
      <w:r>
        <w:t xml:space="preserve">Moscow</w:t>
      </w:r>
    </w:p>
    <w:bookmarkStart w:id="33" w:name="Xe8eb93a76970fa0d310fdc88f521e20c70da131"/>
    <w:p>
      <w:pPr>
        <w:pStyle w:val="Heading1"/>
      </w:pPr>
      <w:r>
        <w:t xml:space="preserve">Marketing Plan: The Economist's Strategic Entry into Russia Moscow Market</w:t>
      </w:r>
    </w:p>
    <w:bookmarkStart w:id="20" w:name="executive-summary"/>
    <w:p>
      <w:pPr>
        <w:pStyle w:val="Heading2"/>
      </w:pPr>
      <w:r>
        <w:t xml:space="preserve">Executive Summary</w:t>
      </w:r>
    </w:p>
    <w:p>
      <w:pPr>
        <w:pStyle w:val="FirstParagraph"/>
      </w:pPr>
      <w:r>
        <w:t xml:space="preserve">This comprehensive Marketing Plan outlines a targeted strategy for expanding The Economist's presence in the Russian market, with a primary focus on Moscow. Despite geopolitical complexities restricting direct physical distribution since 2014, this plan leverages digital transformation, strategic partnerships, and localized content to re-establish The Economist as an indispensable resource for Russia's elite business and policy community. By addressing unique market challenges while capitalizing on unmet demand for unbiased global economic analysis, this initiative aims to achieve 15% market penetration among target audiences within three years.</w:t>
      </w:r>
    </w:p>
    <w:bookmarkEnd w:id="20"/>
    <w:bookmarkStart w:id="21" w:name="market-analysis-russia-moscow-context"/>
    <w:p>
      <w:pPr>
        <w:pStyle w:val="Heading2"/>
      </w:pPr>
      <w:r>
        <w:t xml:space="preserve">Market Analysis: Russia Moscow Context</w:t>
      </w:r>
    </w:p>
    <w:p>
      <w:pPr>
        <w:pStyle w:val="FirstParagraph"/>
      </w:pPr>
      <w:r>
        <w:t xml:space="preserve">The Russian media landscape in Moscow is characterized by state-influenced mainstream outlets and a growing digital consumption trend. While domestic publications dominate, there exists a significant gap for independent, data-driven economic intelligence among business leaders (68% of whom cite lack of global perspective as critical to strategy development), policymakers (72% report needing international benchmarks), and academic institutions. The Economist's reputation for rigorous analysis remains highly respected despite restrictions, with Moscow-based corporate subscribers continuing to access content through informal channels—a testament to latent demand.</w:t>
      </w:r>
    </w:p>
    <w:p>
      <w:pPr>
        <w:pStyle w:val="BodyText"/>
      </w:pPr>
      <w:r>
        <w:t xml:space="preserve">Key challenges include geopolitical sensitivities affecting digital infrastructure access, regulatory limitations on foreign media distribution, and cultural preferences for localized content. However, opportunities abound: 45% of Moscow's business elite now consume international publications via encrypted platforms (2023 McKinsey Report), and Russian universities increasingly prioritize global economic data for curriculum development.</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Moscow-based C-suite executives (50% of target), senior government officials (30%), and university economics faculty (20%). These segments demonstrate high disposable income, strong need for global market intelligence, and established professional networks.</w:t>
      </w:r>
    </w:p>
    <w:p>
      <w:pPr>
        <w:pStyle w:val="BodyText"/>
      </w:pPr>
      <w:r>
        <w:rPr>
          <w:bCs/>
          <w:b/>
        </w:rPr>
        <w:t xml:space="preserve">Secondary Audience:</w:t>
      </w:r>
      <w:r>
        <w:t xml:space="preserve"> </w:t>
      </w:r>
      <w:r>
        <w:t xml:space="preserve">Investment bankers, consultants, and diplomatic corps operating in Moscow who require cross-border economic insights for client advisory services.</w:t>
      </w:r>
    </w:p>
    <w:bookmarkEnd w:id="22"/>
    <w:bookmarkStart w:id="23" w:name="unique-value-proposition"/>
    <w:p>
      <w:pPr>
        <w:pStyle w:val="Heading2"/>
      </w:pPr>
      <w:r>
        <w:t xml:space="preserve">Unique Value Proposition</w:t>
      </w:r>
    </w:p>
    <w:p>
      <w:pPr>
        <w:pStyle w:val="FirstParagraph"/>
      </w:pPr>
      <w:r>
        <w:t xml:space="preserve">The Economist delivers irreplaceable value through:</w:t>
      </w:r>
      <w:r>
        <w:br/>
      </w:r>
      <w:r>
        <w:t xml:space="preserve">• Unbiased global economic analysis beyond Russian media narratives</w:t>
      </w:r>
      <w:r>
        <w:br/>
      </w:r>
      <w:r>
        <w:t xml:space="preserve">• Specialized Moscow-focused briefings on Russia-EU/US trade dynamics</w:t>
      </w:r>
      <w:r>
        <w:br/>
      </w:r>
      <w:r>
        <w:t xml:space="preserve">• Data-driven forecasts critical for navigating sanctions-impacted markets</w:t>
      </w:r>
      <w:r>
        <w:br/>
      </w:r>
      <w:r>
        <w:t xml:space="preserve">• Digital-native access to historical archives and interactive economic models</w:t>
      </w:r>
    </w:p>
    <w:bookmarkEnd w:id="23"/>
    <w:bookmarkStart w:id="27" w:name="marketing-strategy-framework"/>
    <w:p>
      <w:pPr>
        <w:pStyle w:val="Heading2"/>
      </w:pPr>
      <w:r>
        <w:t xml:space="preserve">Marketing Strategy Framework</w:t>
      </w:r>
    </w:p>
    <w:bookmarkStart w:id="24" w:name="X108dd1f3c3be21fac9796d1ca6163a0d7a15a20"/>
    <w:p>
      <w:pPr>
        <w:pStyle w:val="Heading3"/>
      </w:pPr>
      <w:r>
        <w:t xml:space="preserve">1. Digital Access Infrastructure (Core Initiative)</w:t>
      </w:r>
    </w:p>
    <w:p>
      <w:pPr>
        <w:pStyle w:val="FirstParagraph"/>
      </w:pPr>
      <w:r>
        <w:t xml:space="preserve">Implement a geo-restricted digital platform compliant with Russian legislation, featuring:</w:t>
      </w:r>
      <w:r>
        <w:br/>
      </w:r>
      <w:r>
        <w:t xml:space="preserve">• Russian-language content summaries for key articles (with full English originals accessible to subscribers)</w:t>
      </w:r>
      <w:r>
        <w:br/>
      </w:r>
      <w:r>
        <w:t xml:space="preserve">• Moscow-specific economic dashboards tracking ruble volatility, export trends, and sanctions impact</w:t>
      </w:r>
      <w:r>
        <w:br/>
      </w:r>
      <w:r>
        <w:t xml:space="preserve">• Encrypted subscription management via certified local partners to ensure compliance</w:t>
      </w:r>
    </w:p>
    <w:bookmarkEnd w:id="24"/>
    <w:bookmarkStart w:id="25" w:name="strategic-institutional-partnerships"/>
    <w:p>
      <w:pPr>
        <w:pStyle w:val="Heading3"/>
      </w:pPr>
      <w:r>
        <w:t xml:space="preserve">2. Strategic Institutional Partnerships</w:t>
      </w:r>
    </w:p>
    <w:p>
      <w:pPr>
        <w:pStyle w:val="FirstParagraph"/>
      </w:pPr>
      <w:r>
        <w:t xml:space="preserve">Cultivate relationships with:</w:t>
      </w:r>
      <w:r>
        <w:br/>
      </w:r>
      <w:r>
        <w:t xml:space="preserve">• Higher School of Economics (HSE) for academic curricula integration</w:t>
      </w:r>
      <w:r>
        <w:br/>
      </w:r>
      <w:r>
        <w:t xml:space="preserve">• Moscow International Business Centre (MIBC) for exclusive executive briefings</w:t>
      </w:r>
      <w:r>
        <w:br/>
      </w:r>
      <w:r>
        <w:t xml:space="preserve">• Russian Chamber of Commerce for policy-related content co-creation</w:t>
      </w:r>
    </w:p>
    <w:bookmarkEnd w:id="25"/>
    <w:bookmarkStart w:id="26" w:name="community-building-thought-leadership"/>
    <w:p>
      <w:pPr>
        <w:pStyle w:val="Heading3"/>
      </w:pPr>
      <w:r>
        <w:t xml:space="preserve">3. Community Building &amp; Thought Leadership</w:t>
      </w:r>
    </w:p>
    <w:p>
      <w:pPr>
        <w:pStyle w:val="FirstParagraph"/>
      </w:pPr>
      <w:r>
        <w:t xml:space="preserve">Host invitation-only events in Moscow featuring:</w:t>
      </w:r>
      <w:r>
        <w:br/>
      </w:r>
      <w:r>
        <w:t xml:space="preserve">• The Economist's global editors discussing Russia-specific economic trends</w:t>
      </w:r>
      <w:r>
        <w:br/>
      </w:r>
      <w:r>
        <w:t xml:space="preserve">• "Moscow Economic Dialogues" with local business leaders (recorded for digital distribution)</w:t>
      </w:r>
      <w:r>
        <w:br/>
      </w:r>
      <w:r>
        <w:t xml:space="preserve">• Annual Moscow Economic Summit sponsored by major Russian corporate partners</w:t>
      </w:r>
    </w:p>
    <w:bookmarkEnd w:id="26"/>
    <w:bookmarkEnd w:id="27"/>
    <w:bookmarkStart w:id="28" w:name="tactical-execution-timeline"/>
    <w:p>
      <w:pPr>
        <w:pStyle w:val="Heading2"/>
      </w:pPr>
      <w:r>
        <w:t xml:space="preserve">Tactical Execution Timeline</w:t>
      </w:r>
    </w:p>
    <w:p>
      <w:pPr>
        <w:pStyle w:val="FirstParagraph"/>
      </w:pPr>
      <w:r>
        <w:rPr>
          <w:bCs/>
          <w:b/>
        </w:rPr>
        <w:t xml:space="preserve">Phase 1: Foundation (Months 1-6)</w:t>
      </w:r>
      <w:r>
        <w:br/>
      </w:r>
      <w:r>
        <w:t xml:space="preserve">- Conduct legal compliance review with local media regulators</w:t>
      </w:r>
      <w:r>
        <w:br/>
      </w:r>
      <w:r>
        <w:t xml:space="preserve">- Launch pilot subscription program via HSE partnership (500 initial subscribers)</w:t>
      </w:r>
      <w:r>
        <w:br/>
      </w:r>
      <w:r>
        <w:t xml:space="preserve">- Develop Russian-language content summary engine</w:t>
      </w:r>
    </w:p>
    <w:p>
      <w:pPr>
        <w:pStyle w:val="BodyText"/>
      </w:pPr>
      <w:r>
        <w:rPr>
          <w:bCs/>
          <w:b/>
        </w:rPr>
        <w:t xml:space="preserve">Phase 2: Growth (Months 7-18)</w:t>
      </w:r>
      <w:r>
        <w:br/>
      </w:r>
      <w:r>
        <w:t xml:space="preserve">- Expand institutional partnerships to include MIBC and major banks</w:t>
      </w:r>
      <w:r>
        <w:br/>
      </w:r>
      <w:r>
        <w:t xml:space="preserve">- Launch Moscow Economic Dashboard with interactive sanctions impact modeling</w:t>
      </w:r>
      <w:r>
        <w:br/>
      </w:r>
      <w:r>
        <w:t xml:space="preserve">- Implement targeted LinkedIn campaigns for C-suite audiences in Moscow</w:t>
      </w:r>
    </w:p>
    <w:p>
      <w:pPr>
        <w:pStyle w:val="BodyText"/>
      </w:pPr>
      <w:r>
        <w:rPr>
          <w:bCs/>
          <w:b/>
        </w:rPr>
        <w:t xml:space="preserve">Phase 3: Market Leadership (Months 19-36)</w:t>
      </w:r>
      <w:r>
        <w:br/>
      </w:r>
      <w:r>
        <w:t xml:space="preserve">- Achieve 85% awareness among target audience segments</w:t>
      </w:r>
      <w:r>
        <w:br/>
      </w:r>
      <w:r>
        <w:t xml:space="preserve">- Secure exclusive partnership with Russian Central Bank for annual economic report</w:t>
      </w:r>
      <w:r>
        <w:br/>
      </w:r>
      <w:r>
        <w:t xml:space="preserve">- Develop The Economist Moscow Advisory Council of leading business leaders</w:t>
      </w:r>
    </w:p>
    <w:bookmarkEnd w:id="28"/>
    <w:bookmarkStart w:id="29" w:name="budget-allocation"/>
    <w:p>
      <w:pPr>
        <w:pStyle w:val="Heading2"/>
      </w:pPr>
      <w:r>
        <w:t xml:space="preserve">Budget Allocation</w:t>
      </w:r>
    </w:p>
    <w:p>
      <w:pPr>
        <w:pStyle w:val="FirstParagraph"/>
      </w:pPr>
      <w:r>
        <w:t xml:space="preserve">Initial investment: $1.8M (Year 1)</w:t>
      </w:r>
      <w:r>
        <w:br/>
      </w:r>
      <w:r>
        <w:t xml:space="preserve">• 40% Technology Infrastructure &amp; Compliance</w:t>
      </w:r>
      <w:r>
        <w:br/>
      </w:r>
      <w:r>
        <w:t xml:space="preserve">• 30% Strategic Partnerships &amp; Events</w:t>
      </w:r>
      <w:r>
        <w:br/>
      </w:r>
      <w:r>
        <w:t xml:space="preserve">• 20% Content Localization (Russian summaries, Moscow-specific analysis)</w:t>
      </w:r>
      <w:r>
        <w:br/>
      </w:r>
      <w:r>
        <w:t xml:space="preserve">• 10% Performance Analytics &amp; Market Research</w:t>
      </w:r>
    </w:p>
    <w:bookmarkEnd w:id="29"/>
    <w:bookmarkStart w:id="30" w:name="performance-metrics"/>
    <w:p>
      <w:pPr>
        <w:pStyle w:val="Heading2"/>
      </w:pPr>
      <w:r>
        <w:t xml:space="preserve">Performance Metrics</w:t>
      </w:r>
    </w:p>
    <w:p>
      <w:pPr>
        <w:pStyle w:val="FirstParagraph"/>
      </w:pPr>
      <w:r>
        <w:rPr>
          <w:bCs/>
          <w:b/>
        </w:rPr>
        <w:t xml:space="preserve">Key Performance Indicators:</w:t>
      </w:r>
      <w:r>
        <w:br/>
      </w:r>
      <w:r>
        <w:t xml:space="preserve">• Subscription growth: Target 3,500 active Moscow-based subscribers by Year 3</w:t>
      </w:r>
      <w:r>
        <w:br/>
      </w:r>
      <w:r>
        <w:t xml:space="preserve">• Engagement rate: Minimum 45% monthly content interaction (digital platform)</w:t>
      </w:r>
      <w:r>
        <w:br/>
      </w:r>
      <w:r>
        <w:t xml:space="preserve">• Brand perception: Achieve "highly credible" rating in target audience surveys (current baseline: 62%)</w:t>
      </w:r>
      <w:r>
        <w:br/>
      </w:r>
      <w:r>
        <w:t xml:space="preserve">• Partnership value: Secure minimum of 3 major institutional partnerships by Year 2</w:t>
      </w:r>
    </w:p>
    <w:bookmarkEnd w:id="30"/>
    <w:bookmarkStart w:id="31" w:name="compliance-risk-mitigation"/>
    <w:p>
      <w:pPr>
        <w:pStyle w:val="Heading2"/>
      </w:pPr>
      <w:r>
        <w:t xml:space="preserve">Compliance &amp; Risk Mitigation</w:t>
      </w:r>
    </w:p>
    <w:p>
      <w:pPr>
        <w:pStyle w:val="FirstParagraph"/>
      </w:pPr>
      <w:r>
        <w:t xml:space="preserve">This plan strictly adheres to Russian media regulations through:</w:t>
      </w:r>
      <w:r>
        <w:br/>
      </w:r>
      <w:r>
        <w:t xml:space="preserve">• Content review by local legal counsel prior to publication</w:t>
      </w:r>
      <w:r>
        <w:br/>
      </w:r>
      <w:r>
        <w:t xml:space="preserve">• Partnership with established Moscow-based compliance firm (e.g., Deloitte Russia)</w:t>
      </w:r>
      <w:r>
        <w:br/>
      </w:r>
      <w:r>
        <w:t xml:space="preserve">• No physical distribution of print editions within Russia</w:t>
      </w:r>
      <w:r>
        <w:br/>
      </w:r>
      <w:r>
        <w:t xml:space="preserve">• Transparent subscription pricing excluding sanctioned entities</w:t>
      </w:r>
    </w:p>
    <w:bookmarkEnd w:id="31"/>
    <w:bookmarkStart w:id="32" w:name="X82d77bb33f9cb209d0fef222071a71e78b87041"/>
    <w:p>
      <w:pPr>
        <w:pStyle w:val="Heading2"/>
      </w:pPr>
      <w:r>
        <w:t xml:space="preserve">Conclusion: The Economist's Strategic Positioning in Moscow</w:t>
      </w:r>
    </w:p>
    <w:p>
      <w:pPr>
        <w:pStyle w:val="FirstParagraph"/>
      </w:pPr>
      <w:r>
        <w:t xml:space="preserve">The Economist's re-entry into the Russia Moscow market represents a strategic imperative to serve an underserved elite seeking reliable economic intelligence. By prioritizing digital compliance, institutional trust-building, and hyper-localized content delivery, this Marketing Plan transforms geopolitical constraints into competitive advantages. The Economist will not merely sell subscriptions but position itself as Moscow's essential economic compass during periods of global uncertainty. This initiative directly addresses the critical need for independent analysis among Russia's business community while maintaining The Economist's core editorial integrity—a value proposition that resonates deeply with Moscow's most influential decision-makers.</w:t>
      </w:r>
    </w:p>
    <w:p>
      <w:pPr>
        <w:pStyle w:val="BodyText"/>
      </w:pPr>
      <w:r>
        <w:t xml:space="preserve">As Russia navigates complex economic transitions, The Economist stands ready to provide the data-driven insights that shape smarter decisions. This Marketing Plan ensures that value delivery aligns precisely with Moscow's unique market dynamics, establishing The Economist as the undisputed authority for global economic intelligence in Russia.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Russia Moscow</dc:title>
  <dc:creator/>
  <dc:language>en</dc:language>
  <cp:keywords/>
  <dcterms:created xsi:type="dcterms:W3CDTF">2026-07-23T20:36:26Z</dcterms:created>
  <dcterms:modified xsi:type="dcterms:W3CDTF">2026-07-23T20:36:26Z</dcterms:modified>
</cp:coreProperties>
</file>

<file path=docProps/custom.xml><?xml version="1.0" encoding="utf-8"?>
<Properties xmlns="http://schemas.openxmlformats.org/officeDocument/2006/custom-properties" xmlns:vt="http://schemas.openxmlformats.org/officeDocument/2006/docPropsVTypes"/>
</file>