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91ca17b7ec629ee064ee4bee8fb700e81eb3328"/>
    <w:p>
      <w:pPr>
        <w:pStyle w:val="Heading1"/>
      </w:pPr>
      <w:r>
        <w:t xml:space="preserve">Marketing Plan: The Economist Expansion Strategy for Saudi Arabia Riyadh Market</w:t>
      </w:r>
    </w:p>
    <w:bookmarkStart w:id="20" w:name="executive-summary"/>
    <w:p>
      <w:pPr>
        <w:pStyle w:val="Heading2"/>
      </w:pPr>
      <w:r>
        <w:t xml:space="preserve">Executive Summary</w:t>
      </w:r>
    </w:p>
    <w:p>
      <w:pPr>
        <w:pStyle w:val="FirstParagraph"/>
      </w:pPr>
      <w:r>
        <w:t xml:space="preserve">This comprehensive Marketing Plan outlines the strategic entry and growth initiative for The Economist in the prestigious Riyadh market of Saudi Arabia. As a globally recognized authority in economic and political analysis, The Economist is positioned to become the essential intelligence source for Saudi Arabia's rapidly evolving business elite. This plan details targeted audience acquisition, localized content adaptation, premium distribution channels, and performance metrics specifically designed to capture leadership attention within Riyadh's high-value decision-making ecosystem. With Saudi Arabia's Vision 2030 driving economic diversification and international engagement, Riyadh represents a critical growth frontier where The Economist can establish unmatched relevance for government officials, corporate executives, and influential thought leaders.</w:t>
      </w:r>
    </w:p>
    <w:bookmarkEnd w:id="20"/>
    <w:bookmarkStart w:id="21" w:name="X6e92d00a0c3ad696ad89b8c206fc53a45705513"/>
    <w:p>
      <w:pPr>
        <w:pStyle w:val="Heading2"/>
      </w:pPr>
      <w:r>
        <w:t xml:space="preserve">Situation Analysis: Riyadh Market Opportunity</w:t>
      </w:r>
    </w:p>
    <w:p>
      <w:pPr>
        <w:pStyle w:val="FirstParagraph"/>
      </w:pPr>
      <w:r>
        <w:t xml:space="preserve">Riyadh's business landscape is undergoing unprecedented transformation under Saudi Arabia's Vision 2030 initiative, creating urgent demand for sophisticated global economic intelligence. The city hosts over 50% of Saudi Arabia's Fortune 500 subsidiaries and is home to the headquarters of major state-owned entities like SABIC and Aramco. Current market analysis reveals a significant gap in premium content tailored to local leadership needs: while English-language business publications exist, none combine The Economist's global perspective with Riyadh-specific economic insights. Competitors like Bloomberg or Financial Times lack the nuanced cultural understanding required for Saudi context, creating a unique opportunity for The Economist to position itself as the indispensable strategic partner for Riyadh's decision-makers.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Policy Leaders (40%):</w:t>
      </w:r>
      <w:r>
        <w:t xml:space="preserve"> </w:t>
      </w:r>
      <w:r>
        <w:t xml:space="preserve">Ministry officials, Vision 2030 implementers at Saudi Council of Economic and Development Affairs (CEDA), and Crown Prince's Office advisors requiring geopolitical analysis for national strategy development.</w:t>
      </w:r>
    </w:p>
    <w:p>
      <w:pPr>
        <w:numPr>
          <w:ilvl w:val="0"/>
          <w:numId w:val="1001"/>
        </w:numPr>
        <w:pStyle w:val="Compact"/>
      </w:pPr>
      <w:r>
        <w:rPr>
          <w:bCs/>
          <w:b/>
        </w:rPr>
        <w:t xml:space="preserve">Corporate Executives (35%):</w:t>
      </w:r>
      <w:r>
        <w:t xml:space="preserve"> </w:t>
      </w:r>
      <w:r>
        <w:t xml:space="preserve">CEOs of major Saudi conglomerates, multinational heads in Riyadh, and board members needing global market intelligence for investment decisions.</w:t>
      </w:r>
    </w:p>
    <w:p>
      <w:pPr>
        <w:numPr>
          <w:ilvl w:val="0"/>
          <w:numId w:val="1001"/>
        </w:numPr>
        <w:pStyle w:val="Compact"/>
      </w:pPr>
      <w:r>
        <w:rPr>
          <w:bCs/>
          <w:b/>
        </w:rPr>
        <w:t xml:space="preserve">Academia &amp; Thought Leaders (25%):</w:t>
      </w:r>
      <w:r>
        <w:t xml:space="preserve"> </w:t>
      </w:r>
      <w:r>
        <w:t xml:space="preserve">University professors at King Saud University, King Abdullah University of Science and Technology (KAUST), and influential media figures shaping economic discourse.</w:t>
      </w:r>
    </w:p>
    <w:p>
      <w:pPr>
        <w:pStyle w:val="FirstParagraph"/>
      </w:pPr>
      <w:r>
        <w:t xml:space="preserve">All segments share a common need: actionable insights connecting global trends to Saudi Arabia's specific economic transition. Riyadh-based executives consistently cite the lack of local context in international publications as their primary content gap.</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Penetration:</w:t>
      </w:r>
      <w:r>
        <w:t xml:space="preserve"> </w:t>
      </w:r>
      <w:r>
        <w:t xml:space="preserve">Achieve 5,000 paid subscriptions among Riyadh-based executives within Year 1</w:t>
      </w:r>
    </w:p>
    <w:p>
      <w:pPr>
        <w:numPr>
          <w:ilvl w:val="0"/>
          <w:numId w:val="1002"/>
        </w:numPr>
        <w:pStyle w:val="Compact"/>
      </w:pPr>
      <w:r>
        <w:rPr>
          <w:bCs/>
          <w:b/>
        </w:rPr>
        <w:t xml:space="preserve">Brand Authority:</w:t>
      </w:r>
      <w:r>
        <w:t xml:space="preserve"> </w:t>
      </w:r>
      <w:r>
        <w:t xml:space="preserve">Secure 85% recognition as "the essential publication for Saudi economic strategy" in Riyadh business circles by Month 9</w:t>
      </w:r>
    </w:p>
    <w:p>
      <w:pPr>
        <w:numPr>
          <w:ilvl w:val="0"/>
          <w:numId w:val="1002"/>
        </w:numPr>
        <w:pStyle w:val="Compact"/>
      </w:pPr>
      <w:r>
        <w:rPr>
          <w:bCs/>
          <w:b/>
        </w:rPr>
        <w:t xml:space="preserve">Content Relevance:</w:t>
      </w:r>
      <w:r>
        <w:t xml:space="preserve"> </w:t>
      </w:r>
      <w:r>
        <w:t xml:space="preserve">Produce 30+ localized articles monthly addressing Vision 2030 themes with Riyadh-specific case studies</w:t>
      </w:r>
    </w:p>
    <w:p>
      <w:pPr>
        <w:numPr>
          <w:ilvl w:val="0"/>
          <w:numId w:val="1002"/>
        </w:numPr>
        <w:pStyle w:val="Compact"/>
      </w:pPr>
      <w:r>
        <w:rPr>
          <w:bCs/>
          <w:b/>
        </w:rPr>
        <w:t xml:space="preserve">Digital Adoption:</w:t>
      </w:r>
      <w:r>
        <w:t xml:space="preserve"> </w:t>
      </w:r>
      <w:r>
        <w:t xml:space="preserve">Drive 70% of new subscriptions through digital platforms with Riyadh-focused mobile app features</w:t>
      </w:r>
    </w:p>
    <w:bookmarkEnd w:id="23"/>
    <w:bookmarkStart w:id="27" w:name="strategic-marketing-initiatives"/>
    <w:p>
      <w:pPr>
        <w:pStyle w:val="Heading2"/>
      </w:pPr>
      <w:r>
        <w:t xml:space="preserve">Strategic Marketing Initiatives</w:t>
      </w:r>
    </w:p>
    <w:bookmarkStart w:id="24" w:name="hyper-localized-content-strategy"/>
    <w:p>
      <w:pPr>
        <w:pStyle w:val="Heading3"/>
      </w:pPr>
      <w:r>
        <w:t xml:space="preserve">1. Hyper-Localized Content Strategy</w:t>
      </w:r>
    </w:p>
    <w:p>
      <w:pPr>
        <w:pStyle w:val="FirstParagraph"/>
      </w:pPr>
      <w:r>
        <w:t xml:space="preserve">The core differentiator will be Saudi Arabia-specific content co-created with Riyadh-based experts. This includes:</w:t>
      </w:r>
    </w:p>
    <w:p>
      <w:pPr>
        <w:numPr>
          <w:ilvl w:val="0"/>
          <w:numId w:val="1003"/>
        </w:numPr>
        <w:pStyle w:val="Compact"/>
      </w:pPr>
      <w:r>
        <w:rPr>
          <w:bCs/>
          <w:b/>
        </w:rPr>
        <w:t xml:space="preserve">Vision 2030 Tracker:</w:t>
      </w:r>
      <w:r>
        <w:t xml:space="preserve"> </w:t>
      </w:r>
      <w:r>
        <w:t xml:space="preserve">Monthly deep dives on sector progress (e.g., "Tourism Sector: NEOM vs. AlUla Development Metrics")</w:t>
      </w:r>
    </w:p>
    <w:p>
      <w:pPr>
        <w:numPr>
          <w:ilvl w:val="0"/>
          <w:numId w:val="1003"/>
        </w:numPr>
        <w:pStyle w:val="Compact"/>
      </w:pPr>
      <w:r>
        <w:rPr>
          <w:bCs/>
          <w:b/>
        </w:rPr>
        <w:t xml:space="preserve">Riyadh Economic Pulse:</w:t>
      </w:r>
      <w:r>
        <w:t xml:space="preserve"> </w:t>
      </w:r>
      <w:r>
        <w:t xml:space="preserve">Bi-weekly digital briefings analyzing local market indicators with Saudi government data</w:t>
      </w:r>
    </w:p>
    <w:p>
      <w:pPr>
        <w:numPr>
          <w:ilvl w:val="0"/>
          <w:numId w:val="1003"/>
        </w:numPr>
        <w:pStyle w:val="Compact"/>
      </w:pPr>
      <w:r>
        <w:rPr>
          <w:bCs/>
          <w:b/>
        </w:rPr>
        <w:t xml:space="preserve">Cultural Intelligence Series:</w:t>
      </w:r>
      <w:r>
        <w:t xml:space="preserve"> </w:t>
      </w:r>
      <w:r>
        <w:t xml:space="preserve">Exclusive interviews with Saudi business leaders exploring cross-cultural negotiation strategies in Riyadh's evolving market</w:t>
      </w:r>
    </w:p>
    <w:p>
      <w:pPr>
        <w:pStyle w:val="FirstParagraph"/>
      </w:pPr>
      <w:r>
        <w:t xml:space="preserve">All content will undergo rigorous cultural review by our Riyadh-based editorial committee to ensure contextual accuracy and resonance.</w:t>
      </w:r>
    </w:p>
    <w:bookmarkEnd w:id="24"/>
    <w:bookmarkStart w:id="25" w:name="premium-partnership-ecosystem"/>
    <w:p>
      <w:pPr>
        <w:pStyle w:val="Heading3"/>
      </w:pPr>
      <w:r>
        <w:t xml:space="preserve">2. Premium Partnership Ecosystem</w:t>
      </w:r>
    </w:p>
    <w:p>
      <w:pPr>
        <w:pStyle w:val="FirstParagraph"/>
      </w:pPr>
      <w:r>
        <w:t xml:space="preserve">Leveraging Saudi Arabia's relationship-driven business culture, we establish strategic alliances:</w:t>
      </w:r>
    </w:p>
    <w:p>
      <w:pPr>
        <w:numPr>
          <w:ilvl w:val="0"/>
          <w:numId w:val="1004"/>
        </w:numPr>
        <w:pStyle w:val="Compact"/>
      </w:pPr>
      <w:r>
        <w:rPr>
          <w:bCs/>
          <w:b/>
        </w:rPr>
        <w:t xml:space="preserve">Government Channels:</w:t>
      </w:r>
      <w:r>
        <w:t xml:space="preserve"> </w:t>
      </w:r>
      <w:r>
        <w:t xml:space="preserve">Exclusive partnership with Riyadh Economic Development Forum for member-only content access</w:t>
      </w:r>
    </w:p>
    <w:p>
      <w:pPr>
        <w:numPr>
          <w:ilvl w:val="0"/>
          <w:numId w:val="1004"/>
        </w:numPr>
        <w:pStyle w:val="Compact"/>
      </w:pPr>
      <w:r>
        <w:rPr>
          <w:bCs/>
          <w:b/>
        </w:rPr>
        <w:t xml:space="preserve">Corporate Alliances:</w:t>
      </w:r>
      <w:r>
        <w:t xml:space="preserve"> </w:t>
      </w:r>
      <w:r>
        <w:t xml:space="preserve">"Strategic Intelligence Package" co-branded with Saudi Aramco's leadership development program</w:t>
      </w:r>
    </w:p>
    <w:p>
      <w:pPr>
        <w:numPr>
          <w:ilvl w:val="0"/>
          <w:numId w:val="1004"/>
        </w:numPr>
        <w:pStyle w:val="Compact"/>
      </w:pPr>
      <w:r>
        <w:rPr>
          <w:bCs/>
          <w:b/>
        </w:rPr>
        <w:t xml:space="preserve">Institutional Integration:</w:t>
      </w:r>
      <w:r>
        <w:t xml:space="preserve"> </w:t>
      </w:r>
      <w:r>
        <w:t xml:space="preserve">Curated Economist content bundles for King Saud University's executive MBA curriculum</w:t>
      </w:r>
    </w:p>
    <w:bookmarkEnd w:id="25"/>
    <w:bookmarkStart w:id="26" w:name="riyadh-exclusive-engagement-program"/>
    <w:p>
      <w:pPr>
        <w:pStyle w:val="Heading3"/>
      </w:pPr>
      <w:r>
        <w:t xml:space="preserve">3. Riyadh-Exclusive Engagement Program</w:t>
      </w:r>
    </w:p>
    <w:p>
      <w:pPr>
        <w:pStyle w:val="FirstParagraph"/>
      </w:pPr>
      <w:r>
        <w:t xml:space="preserve">Beyond digital, we create physical experiences that align with Saudi Arabia's professional networking norms:</w:t>
      </w:r>
    </w:p>
    <w:p>
      <w:pPr>
        <w:numPr>
          <w:ilvl w:val="0"/>
          <w:numId w:val="1005"/>
        </w:numPr>
        <w:pStyle w:val="Compact"/>
      </w:pPr>
      <w:r>
        <w:rPr>
          <w:bCs/>
          <w:b/>
        </w:rPr>
        <w:t xml:space="preserve">Economist Riyadh Roundtables:</w:t>
      </w:r>
      <w:r>
        <w:t xml:space="preserve"> </w:t>
      </w:r>
      <w:r>
        <w:t xml:space="preserve">Quarterly intimate dinners at Al-Murabba Palace for 25 top executives with exclusive policy briefings</w:t>
      </w:r>
    </w:p>
    <w:p>
      <w:pPr>
        <w:numPr>
          <w:ilvl w:val="0"/>
          <w:numId w:val="1005"/>
        </w:numPr>
        <w:pStyle w:val="Compact"/>
      </w:pPr>
      <w:r>
        <w:rPr>
          <w:bCs/>
          <w:b/>
        </w:rPr>
        <w:t xml:space="preserve">Vision 2030 Leadership Summits:</w:t>
      </w:r>
      <w:r>
        <w:t xml:space="preserve"> </w:t>
      </w:r>
      <w:r>
        <w:t xml:space="preserve">Co-hosted events with CEDA featuring The Economist's global editors analyzing Saudi economic milestones</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Key Performance Indicator</w:t>
      </w:r>
    </w:p>
    <w:p>
      <w:pPr>
        <w:pStyle w:val="BodyText"/>
      </w:pPr>
      <w:r>
        <w:t xml:space="preserve">Localized Content Production</w:t>
      </w:r>
    </w:p>
    <w:p>
      <w:pPr>
        <w:pStyle w:val="BodyText"/>
      </w:pPr>
      <w:r>
        <w:t xml:space="preserve">35%</w:t>
      </w:r>
    </w:p>
    <w:p>
      <w:pPr>
        <w:pStyle w:val="BodyText"/>
      </w:pPr>
      <w:r>
        <w:t xml:space="preserve">Daily active users in Riyadh content zones; 40% increase in shareability of Saudi-specific articles</w:t>
      </w:r>
    </w:p>
    <w:p>
      <w:pPr>
        <w:pStyle w:val="BodyText"/>
      </w:pPr>
      <w:r>
        <w:t xml:space="preserve">Riyadh Partnership Development</w:t>
      </w:r>
    </w:p>
    <w:p>
      <w:pPr>
        <w:pStyle w:val="BodyText"/>
      </w:pPr>
      <w:r>
        <w:t xml:space="preserve">25%</w:t>
      </w:r>
    </w:p>
    <w:p>
      <w:pPr>
        <w:pStyle w:val="BodyText"/>
      </w:pPr>
      <w:r>
        <w:t xml:space="preserve">10+ strategic partnerships secured by Q3; 25% subscription uptake through partner channels</w:t>
      </w:r>
    </w:p>
    <w:p>
      <w:pPr>
        <w:pStyle w:val="BodyText"/>
      </w:pPr>
      <w:r>
        <w:t xml:space="preserve">Exclusive Event Series</w:t>
      </w:r>
    </w:p>
    <w:p>
      <w:pPr>
        <w:pStyle w:val="BodyText"/>
      </w:pPr>
      <w:r>
        <w:t xml:space="preserve">20%</w:t>
      </w:r>
    </w:p>
    <w:p>
      <w:pPr>
        <w:pStyle w:val="BodyText"/>
      </w:pPr>
      <w:r>
        <w:t xml:space="preserve">Riyadh Roundtable attendance (min. 85% capacity); 30+ qualified leads per event</w:t>
      </w:r>
    </w:p>
    <w:p>
      <w:pPr>
        <w:pStyle w:val="BodyText"/>
      </w:pPr>
      <w:r>
        <w:t xml:space="preserve">Digital Platform Optimization</w:t>
      </w:r>
    </w:p>
    <w:p>
      <w:pPr>
        <w:pStyle w:val="BodyText"/>
      </w:pPr>
      <w:r>
        <w:t xml:space="preserve">15%</w:t>
      </w:r>
    </w:p>
    <w:p>
      <w:pPr>
        <w:pStyle w:val="BodyText"/>
      </w:pPr>
      <w:r>
        <w:t xml:space="preserve">Riyadh app download rate; 65% monthly active users among Saudi subscribers</w:t>
      </w:r>
    </w:p>
    <w:p>
      <w:pPr>
        <w:pStyle w:val="BodyText"/>
      </w:pPr>
      <w:r>
        <w:t xml:space="preserve">Market Research &amp; Analytics</w:t>
      </w:r>
    </w:p>
    <w:p>
      <w:pPr>
        <w:pStyle w:val="BodyText"/>
      </w:pPr>
      <w:r>
        <w:t xml:space="preserve">5%</w:t>
      </w:r>
    </w:p>
    <w:p>
      <w:pPr>
        <w:pStyle w:val="BodyText"/>
      </w:pPr>
      <w:r>
        <w:t xml:space="preserve">Monthly sentiment analysis on Riyadh content relevance; quarterly audience growth metrics</w:t>
      </w:r>
    </w:p>
    <w:bookmarkEnd w:id="28"/>
    <w:bookmarkStart w:id="29" w:name="evaluation-framework"/>
    <w:p>
      <w:pPr>
        <w:pStyle w:val="Heading2"/>
      </w:pPr>
      <w:r>
        <w:t xml:space="preserve">Evaluation Framework</w:t>
      </w:r>
    </w:p>
    <w:p>
      <w:pPr>
        <w:pStyle w:val="FirstParagraph"/>
      </w:pPr>
      <w:r>
        <w:t xml:space="preserve">Success will be measured through three key pillars:</w:t>
      </w:r>
    </w:p>
    <w:p>
      <w:pPr>
        <w:numPr>
          <w:ilvl w:val="0"/>
          <w:numId w:val="1006"/>
        </w:numPr>
        <w:pStyle w:val="Compact"/>
      </w:pPr>
      <w:r>
        <w:rPr>
          <w:bCs/>
          <w:b/>
        </w:rPr>
        <w:t xml:space="preserve">Quantitative:</w:t>
      </w:r>
      <w:r>
        <w:t xml:space="preserve"> </w:t>
      </w:r>
      <w:r>
        <w:t xml:space="preserve">Subscription growth in Riyadh (target: 5,000 by Month 12), content consumption metrics per Saudi user, and partnership-driven acquisition rates.</w:t>
      </w:r>
    </w:p>
    <w:p>
      <w:pPr>
        <w:numPr>
          <w:ilvl w:val="0"/>
          <w:numId w:val="1006"/>
        </w:numPr>
        <w:pStyle w:val="Compact"/>
      </w:pPr>
      <w:r>
        <w:rPr>
          <w:bCs/>
          <w:b/>
        </w:rPr>
        <w:t xml:space="preserve">Qualitative:</w:t>
      </w:r>
      <w:r>
        <w:t xml:space="preserve"> </w:t>
      </w:r>
      <w:r>
        <w:t xml:space="preserve">Brand perception surveys measuring "essential intelligence source" recognition among target audience (target: 85% awareness).</w:t>
      </w:r>
    </w:p>
    <w:p>
      <w:pPr>
        <w:numPr>
          <w:ilvl w:val="0"/>
          <w:numId w:val="1006"/>
        </w:numPr>
        <w:pStyle w:val="Compact"/>
      </w:pPr>
      <w:r>
        <w:rPr>
          <w:bCs/>
          <w:b/>
        </w:rPr>
        <w:t xml:space="preserve">Strategic Impact:</w:t>
      </w:r>
      <w:r>
        <w:t xml:space="preserve"> </w:t>
      </w:r>
      <w:r>
        <w:t xml:space="preserve">Number of Riyadh-based organizations incorporating Economist content into official strategy documents.</w:t>
      </w:r>
    </w:p>
    <w:p>
      <w:pPr>
        <w:pStyle w:val="FirstParagraph"/>
      </w:pPr>
      <w:r>
        <w:t xml:space="preserve">Mandatory quarterly reviews will adjust tactics based on Saudi Arabia market dynamics, with real-time analytics dashboard accessible to our Riyadh operations team.</w:t>
      </w:r>
    </w:p>
    <w:bookmarkEnd w:id="29"/>
    <w:bookmarkStart w:id="30" w:name="conclusion"/>
    <w:p>
      <w:pPr>
        <w:pStyle w:val="Heading2"/>
      </w:pPr>
      <w:r>
        <w:t xml:space="preserve">Conclusion</w:t>
      </w:r>
    </w:p>
    <w:p>
      <w:pPr>
        <w:pStyle w:val="FirstParagraph"/>
      </w:pPr>
      <w:r>
        <w:t xml:space="preserve">This Marketing Plan establishes The Economist as the definitive strategic partner for Saudi Arabia's leadership in Riyadh. By merging global authority with hyper-local relevance—specifically through Vision 2030-aligned content, culturally attuned partnerships, and Riyadh-exclusive engagement—the plan positions The Economist not merely as a publication but as an indispensable pillar of Saudi economic decision-making. As Saudi Arabia accelerates its transformation under Vision 2030, Riyadh's business ecosystem demands intelligence that understands both global markets and local context. This Marketing Plan delivers precisely that convergence, ensuring The Economist becomes the recognized standard for strategic insight in the Kingdom's capital city. With execution focused on building trusted relationships within Riyadh's elite circles, this initiative will deliver sustainable growth while advancing The Economist's global leadership position.</w:t>
      </w:r>
    </w:p>
    <w:p>
      <w:pPr>
        <w:pStyle w:val="BodyText"/>
      </w:pPr>
      <w:r>
        <w:rPr>
          <w:iCs/>
          <w:i/>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Saudi Arabia Riyadh</dc:title>
  <dc:creator/>
  <dc:language>en</dc:language>
  <cp:keywords/>
  <dcterms:created xsi:type="dcterms:W3CDTF">2026-07-21T05:59:51Z</dcterms:created>
  <dcterms:modified xsi:type="dcterms:W3CDTF">2026-07-21T05:59:51Z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