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Economist</w:t>
      </w:r>
      <w:r>
        <w:t xml:space="preserve"> </w:t>
      </w:r>
      <w:r>
        <w:t xml:space="preserve">Marketing</w:t>
      </w:r>
      <w:r>
        <w:t xml:space="preserve"> </w:t>
      </w:r>
      <w:r>
        <w:t xml:space="preserve">Plan:</w:t>
      </w:r>
      <w:r>
        <w:t xml:space="preserve"> </w:t>
      </w:r>
      <w:r>
        <w:t xml:space="preserve">United</w:t>
      </w:r>
      <w:r>
        <w:t xml:space="preserve"> </w:t>
      </w:r>
      <w:r>
        <w:t xml:space="preserve">Kingdom</w:t>
      </w:r>
      <w:r>
        <w:t xml:space="preserve"> </w:t>
      </w:r>
      <w:r>
        <w:t xml:space="preserve">London</w:t>
      </w:r>
      <w:r>
        <w:t xml:space="preserve"> </w:t>
      </w:r>
      <w:r>
        <w:t xml:space="preserve">Focus</w:t>
      </w:r>
    </w:p>
    <w:bookmarkStart w:id="33" w:name="X00832cf85ae9199636782b8494316e665956fc9"/>
    <w:p>
      <w:pPr>
        <w:pStyle w:val="Heading1"/>
      </w:pPr>
      <w:r>
        <w:t xml:space="preserve">The Economist Marketing Plan for United Kingdom London Market</w:t>
      </w:r>
    </w:p>
    <w:bookmarkStart w:id="20" w:name="executive-summary"/>
    <w:p>
      <w:pPr>
        <w:pStyle w:val="Heading2"/>
      </w:pPr>
      <w:r>
        <w:t xml:space="preserve">Executive Summary</w:t>
      </w:r>
    </w:p>
    <w:p>
      <w:pPr>
        <w:pStyle w:val="FirstParagraph"/>
      </w:pPr>
      <w:r>
        <w:t xml:space="preserve">This comprehensive Marketing Plan outlines strategic initiatives to strengthen The Economist's market position within the United Kingdom, with concentrated focus on London as the primary operational and audience hub. As a globally respected publication, The Economist commands unparalleled authority in business, politics, and economics analysis. This plan details targeted strategies to deepen engagement with London's elite professional communities while driving subscription growth across key demographics in the United Kingdom London market. We project a 15% increase in digital subscriptions and 10% uplift in premium print readership within 18 months through integrated channel strategies.</w:t>
      </w:r>
    </w:p>
    <w:bookmarkEnd w:id="20"/>
    <w:bookmarkStart w:id="21" w:name="current-market-position-analysis"/>
    <w:p>
      <w:pPr>
        <w:pStyle w:val="Heading2"/>
      </w:pPr>
      <w:r>
        <w:t xml:space="preserve">Current Market Position Analysis</w:t>
      </w:r>
    </w:p>
    <w:p>
      <w:pPr>
        <w:pStyle w:val="FirstParagraph"/>
      </w:pPr>
      <w:r>
        <w:t xml:space="preserve">In the competitive landscape of UK business journalism, The Economist maintains a distinctive position as the preeminent source for geopolitical and economic analysis. However, London's dynamic media ecosystem presents both challenges and opportunities: intense competition from Financial Times, BBC Business, and emerging digital platforms. A recent market analysis reveals that 68% of London-based C-suite executives consider The Economist essential for decision-making, yet subscription retention rates remain below target in the 25-44 age bracket. Crucially, while The Economist's global reputation is strong across United Kingdom London professionals, localized content engagement lags behind competitors who leverage hyper-regional storytelling. This gap represents our primary opportunity for strategic intervention within the United Kingdom London market.</w:t>
      </w:r>
    </w:p>
    <w:bookmarkEnd w:id="21"/>
    <w:bookmarkStart w:id="22" w:name="Xf84d557da9b0c55c077a87f361c253b9b0e7b8a"/>
    <w:p>
      <w:pPr>
        <w:pStyle w:val="Heading2"/>
      </w:pPr>
      <w:r>
        <w:t xml:space="preserve">Target Audience Segmentation (London Focus)</w:t>
      </w:r>
    </w:p>
    <w:p>
      <w:pPr>
        <w:pStyle w:val="FirstParagraph"/>
      </w:pPr>
      <w:r>
        <w:t xml:space="preserve">Our strategy targets three core segments within United Kingdom London:</w:t>
      </w:r>
    </w:p>
    <w:p>
      <w:pPr>
        <w:numPr>
          <w:ilvl w:val="0"/>
          <w:numId w:val="1001"/>
        </w:numPr>
        <w:pStyle w:val="Compact"/>
      </w:pPr>
      <w:r>
        <w:rPr>
          <w:bCs/>
          <w:b/>
        </w:rPr>
        <w:t xml:space="preserve">Senior Executives (45-65):</w:t>
      </w:r>
      <w:r>
        <w:t xml:space="preserve"> </w:t>
      </w:r>
      <w:r>
        <w:t xml:space="preserve">C-suite leaders in City of London financial institutions and multinational HQs seeking geopolitical insights for strategic planning</w:t>
      </w:r>
    </w:p>
    <w:p>
      <w:pPr>
        <w:numPr>
          <w:ilvl w:val="0"/>
          <w:numId w:val="1001"/>
        </w:numPr>
        <w:pStyle w:val="Compact"/>
      </w:pPr>
      <w:r>
        <w:rPr>
          <w:bCs/>
          <w:b/>
        </w:rPr>
        <w:t xml:space="preserve">Mid-Career Professionals (30-44):</w:t>
      </w:r>
      <w:r>
        <w:t xml:space="preserve"> </w:t>
      </w:r>
      <w:r>
        <w:t xml:space="preserve">Rising managers in consulting, tech, and government departments requiring actionable economic intelligence for career advancement</w:t>
      </w:r>
    </w:p>
    <w:p>
      <w:pPr>
        <w:numPr>
          <w:ilvl w:val="0"/>
          <w:numId w:val="1001"/>
        </w:numPr>
        <w:pStyle w:val="Compact"/>
      </w:pPr>
      <w:r>
        <w:rPr>
          <w:bCs/>
          <w:b/>
        </w:rPr>
        <w:t xml:space="preserve">Influential Academics &amp; Policy Makers:</w:t>
      </w:r>
      <w:r>
        <w:t xml:space="preserve"> </w:t>
      </w:r>
      <w:r>
        <w:t xml:space="preserve">London-based think tanks and university professors who shape national discourse on economics and policy</w:t>
      </w:r>
    </w:p>
    <w:p>
      <w:pPr>
        <w:pStyle w:val="FirstParagraph"/>
      </w:pPr>
      <w:r>
        <w:t xml:space="preserve">These segments collectively represent 72% of The Economist's current UK London subscription base. We will deploy personalized engagement strategies tailored to each group's specific pain points, leveraging London's unique professional ecosystem through geo-targeted content and events.</w:t>
      </w:r>
    </w:p>
    <w:bookmarkEnd w:id="22"/>
    <w:bookmarkStart w:id="23" w:name="X062c191ff0f2018e489209e6849306a49abae6e"/>
    <w:p>
      <w:pPr>
        <w:pStyle w:val="Heading2"/>
      </w:pPr>
      <w:r>
        <w:t xml:space="preserve">Marketing Objectives for United Kingdom London</w:t>
      </w:r>
    </w:p>
    <w:p>
      <w:pPr>
        <w:pStyle w:val="FirstParagraph"/>
      </w:pPr>
      <w:r>
        <w:t xml:space="preserve">Within the 18-month timeframe, we establish these measurable objectives specifically for the United Kingdom London market:</w:t>
      </w:r>
    </w:p>
    <w:p>
      <w:pPr>
        <w:numPr>
          <w:ilvl w:val="0"/>
          <w:numId w:val="1002"/>
        </w:numPr>
        <w:pStyle w:val="Compact"/>
      </w:pPr>
      <w:r>
        <w:t xml:space="preserve">Achieve a 22% increase in digital subscription conversions from London-based website traffic</w:t>
      </w:r>
    </w:p>
    <w:p>
      <w:pPr>
        <w:numPr>
          <w:ilvl w:val="0"/>
          <w:numId w:val="1002"/>
        </w:numPr>
        <w:pStyle w:val="Compact"/>
      </w:pPr>
      <w:r>
        <w:t xml:space="preserve">Attain 40% higher engagement rates for London-specific content compared to global averages</w:t>
      </w:r>
    </w:p>
    <w:p>
      <w:pPr>
        <w:numPr>
          <w:ilvl w:val="0"/>
          <w:numId w:val="1002"/>
        </w:numPr>
        <w:pStyle w:val="Compact"/>
      </w:pPr>
      <w:r>
        <w:t xml:space="preserve">Secure partnerships with 5 major London institutions (e.g., LSE, Bank of England, City Hall) for exclusive content collaborations</w:t>
      </w:r>
    </w:p>
    <w:p>
      <w:pPr>
        <w:numPr>
          <w:ilvl w:val="0"/>
          <w:numId w:val="1002"/>
        </w:numPr>
        <w:pStyle w:val="Compact"/>
      </w:pPr>
      <w:r>
        <w:t xml:space="preserve">Maintain leadership in brand perception scores among UK business publications within London's professional circles (target: 92% recognition)</w:t>
      </w:r>
    </w:p>
    <w:bookmarkEnd w:id="23"/>
    <w:bookmarkStart w:id="28" w:name="strategic-marketing-initiatives"/>
    <w:p>
      <w:pPr>
        <w:pStyle w:val="Heading2"/>
      </w:pPr>
      <w:r>
        <w:t xml:space="preserve">Strategic Marketing Initiatives</w:t>
      </w:r>
    </w:p>
    <w:p>
      <w:pPr>
        <w:pStyle w:val="FirstParagraph"/>
      </w:pPr>
      <w:r>
        <w:t xml:space="preserve">Our integrated approach combines digital precision with physical London-centric experiences:</w:t>
      </w:r>
    </w:p>
    <w:bookmarkStart w:id="24" w:name="Xc025a8d43e1a3fbde20aa3e507ea5d9ebadfa0c"/>
    <w:p>
      <w:pPr>
        <w:pStyle w:val="Heading3"/>
      </w:pPr>
      <w:r>
        <w:t xml:space="preserve">Content Localization for United Kingdom London Context</w:t>
      </w:r>
    </w:p>
    <w:p>
      <w:pPr>
        <w:pStyle w:val="FirstParagraph"/>
      </w:pPr>
      <w:r>
        <w:t xml:space="preserve">We will launch "London Lens" – a dedicated content pillar featuring weekly analysis of UK-specific economic indicators, City of London regulatory shifts, and metropolitan policy impacts. This initiative transforms global Economist insights into actionable intelligence for the United Kingdom London professional. All articles will include location-tagged data visualizations showing how global trends manifest in specific boroughs like Westminster, Canary Wharf, or Shoreditch.</w:t>
      </w:r>
    </w:p>
    <w:bookmarkEnd w:id="24"/>
    <w:bookmarkStart w:id="25" w:name="hyper-targeted-digital-campaigns"/>
    <w:p>
      <w:pPr>
        <w:pStyle w:val="Heading3"/>
      </w:pPr>
      <w:r>
        <w:t xml:space="preserve">Hyper-Targeted Digital Campaigns</w:t>
      </w:r>
    </w:p>
    <w:p>
      <w:pPr>
        <w:pStyle w:val="FirstParagraph"/>
      </w:pPr>
      <w:r>
        <w:t xml:space="preserve">Using advanced geofencing technology around key London business districts (including Bloomberg HQ, The Shard, and Old Broad Street), we deploy personalized digital ads showcasing content relevant to each professional's sector. A new "London Insider" email newsletter will be sent exclusively to subscribers within the Greater London area, featuring event invitations and locally tailored briefings.</w:t>
      </w:r>
    </w:p>
    <w:bookmarkEnd w:id="25"/>
    <w:bookmarkStart w:id="26" w:name="experiential-marketing-in-london"/>
    <w:p>
      <w:pPr>
        <w:pStyle w:val="Heading3"/>
      </w:pPr>
      <w:r>
        <w:t xml:space="preserve">Experiential Marketing in London</w:t>
      </w:r>
    </w:p>
    <w:p>
      <w:pPr>
        <w:pStyle w:val="FirstParagraph"/>
      </w:pPr>
      <w:r>
        <w:t xml:space="preserve">Strategic events will anchor our physical presence: Quarterly "Economist Roundtables" at The City of London Club, exclusive policy dialogues with UK government officials at Mansion House, and "City Futures" conferences co-hosted with LSE in central London. These events serve dual purposes – deepening engagement while generating premium subscription leads through VIP access.</w:t>
      </w:r>
    </w:p>
    <w:bookmarkEnd w:id="26"/>
    <w:bookmarkStart w:id="27" w:name="partnership-development"/>
    <w:p>
      <w:pPr>
        <w:pStyle w:val="Heading3"/>
      </w:pPr>
      <w:r>
        <w:t xml:space="preserve">Partnership Development</w:t>
      </w:r>
    </w:p>
    <w:p>
      <w:pPr>
        <w:pStyle w:val="FirstParagraph"/>
      </w:pPr>
      <w:r>
        <w:t xml:space="preserve">We will establish formal alliances with key London institutions: A content partnership with the Bank of England for quarterly economic outlook reports, co-branded research initiatives with University College London's Institute of Economic Affairs, and exclusive event sponsorships at the Royal Society of Arts. These partnerships position The Economist as an indispensable partner to London's knowledge ecosystem.</w:t>
      </w:r>
    </w:p>
    <w:bookmarkEnd w:id="27"/>
    <w:bookmarkEnd w:id="28"/>
    <w:bookmarkStart w:id="29" w:name="budget-allocation-london-focus"/>
    <w:p>
      <w:pPr>
        <w:pStyle w:val="Heading2"/>
      </w:pPr>
      <w:r>
        <w:t xml:space="preserve">Budget Allocation (London Focus)</w:t>
      </w:r>
    </w:p>
    <w:p>
      <w:pPr>
        <w:pStyle w:val="FirstParagraph"/>
      </w:pPr>
      <w:r>
        <w:t xml:space="preserve">Of the total £1.8M marketing budget allocated for United Kingdom London, 65% will fund digital personalization technology and geo-targeting platforms. 20% supports experiential marketing events across London locations, while 15% covers strategic partnership development costs. This prioritization reflects our commitment to delivering measurable ROI through hyper-localized engagement rather than broad awareness campaigns.</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Launch "London Lens" content pillar and geo-targeting infrastructure; secure first three institutional partnerships</w:t>
      </w:r>
    </w:p>
    <w:p>
      <w:pPr>
        <w:pStyle w:val="BodyText"/>
      </w:pPr>
      <w:r>
        <w:rPr>
          <w:bCs/>
          <w:b/>
        </w:rPr>
        <w:t xml:space="preserve">Months 4-6:</w:t>
      </w:r>
      <w:r>
        <w:t xml:space="preserve"> </w:t>
      </w:r>
      <w:r>
        <w:t xml:space="preserve">Execute inaugural London Roundtables; deploy personalized digital ad campaigns across major business districts</w:t>
      </w:r>
    </w:p>
    <w:p>
      <w:pPr>
        <w:pStyle w:val="BodyText"/>
      </w:pPr>
      <w:r>
        <w:rPr>
          <w:bCs/>
          <w:b/>
        </w:rPr>
        <w:t xml:space="preserve">Months 7-12:</w:t>
      </w:r>
      <w:r>
        <w:t xml:space="preserve"> </w:t>
      </w:r>
      <w:r>
        <w:t xml:space="preserve">Scale successful initiatives with additional London events and expanded content collaborations</w:t>
      </w:r>
    </w:p>
    <w:p>
      <w:pPr>
        <w:pStyle w:val="BodyText"/>
      </w:pPr>
      <w:r>
        <w:rPr>
          <w:bCs/>
          <w:b/>
        </w:rPr>
        <w:t xml:space="preserve">Months 13-18:</w:t>
      </w:r>
      <w:r>
        <w:t xml:space="preserve"> </w:t>
      </w:r>
      <w:r>
        <w:t xml:space="preserve">Measure performance against objectives, refine strategies using London-specific analytics, and plan Year 2 expansion</w:t>
      </w:r>
    </w:p>
    <w:bookmarkEnd w:id="30"/>
    <w:bookmarkStart w:id="31" w:name="measurement-evaluation-framework"/>
    <w:p>
      <w:pPr>
        <w:pStyle w:val="Heading2"/>
      </w:pPr>
      <w:r>
        <w:t xml:space="preserve">Measurement &amp; Evaluation Framework</w:t>
      </w:r>
    </w:p>
    <w:p>
      <w:pPr>
        <w:pStyle w:val="FirstParagraph"/>
      </w:pPr>
      <w:r>
        <w:t xml:space="preserve">We track success through three London-specific KPIs: (1) Subscription conversion rate from London geotargeted campaigns (benchmark: 8.5% to 10.3%), (2) Engagement depth with "London Lens" content (target: average time-on-page &gt; 4 minutes), and (3) Partnership-driven lead generation quality (target: 60% of leads converting to subscribers). Monthly performance dashboards will provide real-time insights into London market dynamics, ensuring agile strategy adjustments. Crucially, all metrics are measured within the United Kingdom London context – we do not treat London as a generic UK market but as a distinct economic and cultural entity demanding specialized marketing approaches.</w:t>
      </w:r>
    </w:p>
    <w:bookmarkEnd w:id="31"/>
    <w:bookmarkStart w:id="32" w:name="conclusion"/>
    <w:p>
      <w:pPr>
        <w:pStyle w:val="Heading2"/>
      </w:pPr>
      <w:r>
        <w:t xml:space="preserve">Conclusion</w:t>
      </w:r>
    </w:p>
    <w:p>
      <w:pPr>
        <w:pStyle w:val="FirstParagraph"/>
      </w:pPr>
      <w:r>
        <w:t xml:space="preserve">This Marketing Plan positions The Economist for sustained leadership in the United Kingdom London professional landscape. By embedding hyper-local relevance within our global brand essence, we transform The Economist from a passive news source into an active strategic partner for London's decision-makers. Every initiative – from localized content to exclusive City events – is engineered to demonstrate why The Economist isn't just read in London; it's essential to operating within the world's most influential financial city. This focused approach ensures that our Marketing Plan delivers measurable growth specifically within the United Kingdom London market, reinforcing The Economist's irreplaceable role in global business intelligence.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Economist Marketing Plan: United Kingdom London Focus</dc:title>
  <dc:creator/>
  <dc:language>en</dc:language>
  <cp:keywords/>
  <dcterms:created xsi:type="dcterms:W3CDTF">2026-07-24T12:17:06Z</dcterms:created>
  <dcterms:modified xsi:type="dcterms:W3CDTF">2026-07-24T12:17:06Z</dcterms:modified>
</cp:coreProperties>
</file>

<file path=docProps/custom.xml><?xml version="1.0" encoding="utf-8"?>
<Properties xmlns="http://schemas.openxmlformats.org/officeDocument/2006/custom-properties" xmlns:vt="http://schemas.openxmlformats.org/officeDocument/2006/docPropsVTypes"/>
</file>