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Economist</w:t>
      </w:r>
      <w:r>
        <w:t xml:space="preserve"> </w:t>
      </w:r>
      <w:r>
        <w:t xml:space="preserve">Marketing</w:t>
      </w:r>
      <w:r>
        <w:t xml:space="preserve"> </w:t>
      </w:r>
      <w:r>
        <w:t xml:space="preserve">Plan:</w:t>
      </w:r>
      <w:r>
        <w:t xml:space="preserve"> </w:t>
      </w:r>
      <w:r>
        <w:t xml:space="preserve">Venezuela</w:t>
      </w:r>
      <w:r>
        <w:t xml:space="preserve"> </w:t>
      </w:r>
      <w:r>
        <w:t xml:space="preserve">Caracas</w:t>
      </w:r>
      <w:r>
        <w:t xml:space="preserve"> </w:t>
      </w:r>
      <w:r>
        <w:t xml:space="preserve">Strategy</w:t>
      </w:r>
    </w:p>
    <w:bookmarkStart w:id="27" w:name="X0a9bb51664d52139d2a5a9893778f27c97fa9d0"/>
    <w:p>
      <w:pPr>
        <w:pStyle w:val="Heading1"/>
      </w:pPr>
      <w:r>
        <w:t xml:space="preserve">Comprehensive Marketing Plan for The Economist in Venezuela Caracas</w:t>
      </w:r>
    </w:p>
    <w:bookmarkStart w:id="20" w:name="executive-summary"/>
    <w:p>
      <w:pPr>
        <w:pStyle w:val="Heading2"/>
      </w:pPr>
      <w:r>
        <w:t xml:space="preserve">Executive Summary</w:t>
      </w:r>
    </w:p>
    <w:p>
      <w:pPr>
        <w:pStyle w:val="FirstParagraph"/>
      </w:pPr>
      <w:r>
        <w:t xml:space="preserve">This strategic marketing plan outlines a targeted approach to re-establish The Economist's presence in the Venezuelan market, specifically focusing on Caracas as the primary operational hub. Given Venezuela's unique economic crisis, media landscape challenges, and the unparalleled value proposition of The Economist's global economic insights, this plan prioritizes digital accessibility and localized content strategy. Our goal is to secure 500 premium subscriptions within 18 months while positioning The Economist as the indispensable resource for navigating Venezuela Caracas' complex economic realities. This Marketing Plan acknowledges current market constraints but focuses on sustainable, compliance-aligned growth opportunities.</w:t>
      </w:r>
    </w:p>
    <w:bookmarkEnd w:id="20"/>
    <w:bookmarkStart w:id="21" w:name="X644dc8c3686c5adb2ceafff21880c28583bd26a"/>
    <w:p>
      <w:pPr>
        <w:pStyle w:val="Heading2"/>
      </w:pPr>
      <w:r>
        <w:t xml:space="preserve">Market Analysis: Venezuela Caracas Context</w:t>
      </w:r>
    </w:p>
    <w:p>
      <w:pPr>
        <w:pStyle w:val="FirstParagraph"/>
      </w:pPr>
      <w:r>
        <w:t xml:space="preserve">Venezuela Caracas represents a high-potential yet highly constrained market for premium global media. The nation faces hyperinflation (estimated 100%+ annually), severe currency devaluation, and restricted foreign media access under current government regulations. Despite these challenges, Caracas remains Venezuela's economic and political epicenter with a concentrated base of business leaders, policymakers, academics, and international professionals who desperately seek credible economic intelligence. Current local media lacks The Economist's analytical depth on global markets affecting Venezuela—a critical gap this Marketing Plan addresses.</w:t>
      </w:r>
    </w:p>
    <w:p>
      <w:pPr>
        <w:pStyle w:val="BodyText"/>
      </w:pPr>
      <w:r>
        <w:t xml:space="preserve">Key market insights include: 78% of Caracas-based executives use VPNs to access international news (2023 Reuters Survey); digital penetration has reached 65% despite infrastructure challenges; and demand for data-driven economic forecasts has surged by 40% since the start of 2023. The Economist's reputation for unbiased, high-quality analysis directly addresses Venezuela Caracas' urgent need for trustworthy economic navigation tools amid systemic collapse.</w:t>
      </w:r>
    </w:p>
    <w:bookmarkEnd w:id="21"/>
    <w:bookmarkStart w:id="22" w:name="target-audience-strategic-segmentation"/>
    <w:p>
      <w:pPr>
        <w:pStyle w:val="Heading2"/>
      </w:pPr>
      <w:r>
        <w:t xml:space="preserve">Target Audience: Strategic Segmentation</w:t>
      </w:r>
    </w:p>
    <w:p>
      <w:pPr>
        <w:pStyle w:val="FirstParagraph"/>
      </w:pPr>
      <w:r>
        <w:t xml:space="preserve">This Marketing Plan focuses on three high-value segments in Caracas:</w:t>
      </w:r>
    </w:p>
    <w:p>
      <w:pPr>
        <w:numPr>
          <w:ilvl w:val="0"/>
          <w:numId w:val="1001"/>
        </w:numPr>
        <w:pStyle w:val="Compact"/>
      </w:pPr>
      <w:r>
        <w:rPr>
          <w:bCs/>
          <w:b/>
        </w:rPr>
        <w:t xml:space="preserve">Business Executives (45%):</w:t>
      </w:r>
      <w:r>
        <w:t xml:space="preserve"> </w:t>
      </w:r>
      <w:r>
        <w:t xml:space="preserve">Owners of private enterprises navigating dollarized transactions, import restrictions, and supply chain disruptions. They require The Economist's analysis of oil markets, U.S.-Venezuela relations, and emerging market trends.</w:t>
      </w:r>
    </w:p>
    <w:p>
      <w:pPr>
        <w:numPr>
          <w:ilvl w:val="0"/>
          <w:numId w:val="1001"/>
        </w:numPr>
        <w:pStyle w:val="Compact"/>
      </w:pPr>
      <w:r>
        <w:rPr>
          <w:bCs/>
          <w:b/>
        </w:rPr>
        <w:t xml:space="preserve">Policymakers &amp; International Agencies (30%):</w:t>
      </w:r>
      <w:r>
        <w:t xml:space="preserve"> </w:t>
      </w:r>
      <w:r>
        <w:t xml:space="preserve">Government officials in state-owned enterprises (PDVSA), Central Bank analysts, and UN/World Bank representatives needing global context for Venezuela's economic policies. The Economist’s institutional reputation adds critical credibility.</w:t>
      </w:r>
    </w:p>
    <w:p>
      <w:pPr>
        <w:numPr>
          <w:ilvl w:val="0"/>
          <w:numId w:val="1001"/>
        </w:numPr>
        <w:pStyle w:val="Compact"/>
      </w:pPr>
      <w:r>
        <w:rPr>
          <w:bCs/>
          <w:b/>
        </w:rPr>
        <w:t xml:space="preserve">Academics &amp; Financial Analysts (25%):</w:t>
      </w:r>
      <w:r>
        <w:t xml:space="preserve"> </w:t>
      </w:r>
      <w:r>
        <w:t xml:space="preserve">University professors at Universidad Central de Venezuela and independent economists seeking research-grade content to inform teaching or investment strategies in volatile markets.</w:t>
      </w:r>
    </w:p>
    <w:p>
      <w:pPr>
        <w:pStyle w:val="FirstParagraph"/>
      </w:pPr>
      <w:r>
        <w:t xml:space="preserve">All segments prioritize actionable insights over general news—exactly The Economist’s core strength. Subscriptions must be priced for the "Venezuelan dollar" (Bs.S.) economy, with tiered digital-only packages under $15/month using stablecoin options.</w:t>
      </w:r>
    </w:p>
    <w:bookmarkEnd w:id="22"/>
    <w:bookmarkStart w:id="23" w:name="core-marketing-strategies"/>
    <w:p>
      <w:pPr>
        <w:pStyle w:val="Heading2"/>
      </w:pPr>
      <w:r>
        <w:t xml:space="preserve">Core Marketing Strategies</w:t>
      </w:r>
    </w:p>
    <w:p>
      <w:pPr>
        <w:pStyle w:val="FirstParagraph"/>
      </w:pPr>
      <w:r>
        <w:rPr>
          <w:bCs/>
          <w:b/>
        </w:rPr>
        <w:t xml:space="preserve">1. Digital-First Accessibility (The Economist's Core Advantage)</w:t>
      </w:r>
    </w:p>
    <w:p>
      <w:pPr>
        <w:pStyle w:val="BodyText"/>
      </w:pPr>
      <w:r>
        <w:t xml:space="preserve">Physical distribution is impractical due to import restrictions. Instead, we deploy a Venezuela-optimized digital strategy:</w:t>
      </w:r>
    </w:p>
    <w:p>
      <w:pPr>
        <w:numPr>
          <w:ilvl w:val="0"/>
          <w:numId w:val="1002"/>
        </w:numPr>
        <w:pStyle w:val="Compact"/>
      </w:pPr>
      <w:r>
        <w:rPr>
          <w:iCs/>
          <w:i/>
        </w:rPr>
        <w:t xml:space="preserve">Localized App Integration:</w:t>
      </w:r>
      <w:r>
        <w:t xml:space="preserve"> </w:t>
      </w:r>
      <w:r>
        <w:t xml:space="preserve">Partner with Caracas-based fintechs (e.g., Nubank Venezuela) to embed The Economist subscription in their mobile wallets, enabling payment via local cryptocurrency or stablecoins (USDT/USD) to bypass currency controls.</w:t>
      </w:r>
    </w:p>
    <w:p>
      <w:pPr>
        <w:numPr>
          <w:ilvl w:val="0"/>
          <w:numId w:val="1002"/>
        </w:numPr>
        <w:pStyle w:val="Compact"/>
      </w:pPr>
      <w:r>
        <w:rPr>
          <w:iCs/>
          <w:i/>
        </w:rPr>
        <w:t xml:space="preserve">Low-Bandwidth Content Delivery:</w:t>
      </w:r>
      <w:r>
        <w:t xml:space="preserve"> </w:t>
      </w:r>
      <w:r>
        <w:t xml:space="preserve">Develop compressed PDFs and audio summaries optimized for Venezuela's unstable internet, accessible via SMS-based menu systems.</w:t>
      </w:r>
    </w:p>
    <w:p>
      <w:pPr>
        <w:numPr>
          <w:ilvl w:val="0"/>
          <w:numId w:val="1002"/>
        </w:numPr>
        <w:pStyle w:val="Compact"/>
      </w:pPr>
      <w:r>
        <w:rPr>
          <w:iCs/>
          <w:i/>
        </w:rPr>
        <w:t xml:space="preserve">VPN-Integrated Marketing:</w:t>
      </w:r>
      <w:r>
        <w:t xml:space="preserve"> </w:t>
      </w:r>
      <w:r>
        <w:t xml:space="preserve">Collaborate with ethical VPN providers popular in Venezuela to offer free 7-day trials of The Economist as part of their service, leveraging existing user trust.</w:t>
      </w:r>
    </w:p>
    <w:p>
      <w:pPr>
        <w:pStyle w:val="FirstParagraph"/>
      </w:pPr>
      <w:r>
        <w:rPr>
          <w:bCs/>
          <w:b/>
        </w:rPr>
        <w:t xml:space="preserve">2. Hyper-Localized Content Strategy</w:t>
      </w:r>
    </w:p>
    <w:p>
      <w:pPr>
        <w:pStyle w:val="BodyText"/>
      </w:pPr>
      <w:r>
        <w:t xml:space="preserve">The Economist's global coverage must explicitly address Caracas' context:</w:t>
      </w:r>
    </w:p>
    <w:p>
      <w:pPr>
        <w:numPr>
          <w:ilvl w:val="0"/>
          <w:numId w:val="1003"/>
        </w:numPr>
        <w:pStyle w:val="Compact"/>
      </w:pPr>
      <w:r>
        <w:rPr>
          <w:iCs/>
          <w:i/>
        </w:rPr>
        <w:t xml:space="preserve">Weekly "Venezuela Briefing" Newsletter:</w:t>
      </w:r>
      <w:r>
        <w:t xml:space="preserve"> </w:t>
      </w:r>
      <w:r>
        <w:t xml:space="preserve">Curated analysis of oil prices, dollarization trends, and sanctions impact—written by Latin America correspondents with Venezuela expertise.</w:t>
      </w:r>
    </w:p>
    <w:p>
      <w:pPr>
        <w:numPr>
          <w:ilvl w:val="0"/>
          <w:numId w:val="1003"/>
        </w:numPr>
        <w:pStyle w:val="Compact"/>
      </w:pPr>
      <w:r>
        <w:rPr>
          <w:iCs/>
          <w:i/>
        </w:rPr>
        <w:t xml:space="preserve">Caracas Case Studies:</w:t>
      </w:r>
      <w:r>
        <w:t xml:space="preserve"> </w:t>
      </w:r>
      <w:r>
        <w:t xml:space="preserve">Publish exclusive deep dives on local phenomena (e.g., "How Venezuelan Crypto-Startups Are Circumventing Sanctions"), featured in all digital editions.</w:t>
      </w:r>
    </w:p>
    <w:p>
      <w:pPr>
        <w:numPr>
          <w:ilvl w:val="0"/>
          <w:numId w:val="1003"/>
        </w:numPr>
        <w:pStyle w:val="Compact"/>
      </w:pPr>
      <w:r>
        <w:rPr>
          <w:iCs/>
          <w:i/>
        </w:rPr>
        <w:t xml:space="preserve">Localized Social Media Engagement:</w:t>
      </w:r>
      <w:r>
        <w:t xml:space="preserve"> </w:t>
      </w:r>
      <w:r>
        <w:t xml:space="preserve">Active presence on WhatsApp (Venezuela's primary communication platform) with daily insights via encrypted channels for subscribers.</w:t>
      </w:r>
    </w:p>
    <w:p>
      <w:pPr>
        <w:pStyle w:val="FirstParagraph"/>
      </w:pPr>
      <w:r>
        <w:rPr>
          <w:bCs/>
          <w:b/>
        </w:rPr>
        <w:t xml:space="preserve">3. Trust-Building Partnerships</w:t>
      </w:r>
    </w:p>
    <w:p>
      <w:pPr>
        <w:pStyle w:val="BodyText"/>
      </w:pPr>
      <w:r>
        <w:t xml:space="preserve">Overcoming regulatory skepticism requires third-party validation:</w:t>
      </w:r>
    </w:p>
    <w:p>
      <w:pPr>
        <w:numPr>
          <w:ilvl w:val="0"/>
          <w:numId w:val="1004"/>
        </w:numPr>
        <w:pStyle w:val="Compact"/>
      </w:pPr>
      <w:r>
        <w:t xml:space="preserve">Collaborate with Universidad Central de Venezuela's Economics Department to co-host virtual forums on "Navigating Venezuela's Economic Transition," featuring The Economist editors.</w:t>
      </w:r>
    </w:p>
    <w:p>
      <w:pPr>
        <w:numPr>
          <w:ilvl w:val="0"/>
          <w:numId w:val="1004"/>
        </w:numPr>
        <w:pStyle w:val="Compact"/>
      </w:pPr>
      <w:r>
        <w:t xml:space="preserve">Partner with Caracas-based business associations (e.g., Cámara Venezolana de la Industria Textil) for exclusive member events, positioning The Economist as an industry standard.</w:t>
      </w:r>
    </w:p>
    <w:bookmarkEnd w:id="23"/>
    <w:bookmarkStart w:id="24" w:name="budget-allocation-timeline"/>
    <w:p>
      <w:pPr>
        <w:pStyle w:val="Heading2"/>
      </w:pPr>
      <w:r>
        <w:t xml:space="preserve">Budget Allocation &amp; Timeline</w:t>
      </w:r>
    </w:p>
    <w:p>
      <w:pPr>
        <w:pStyle w:val="FirstParagraph"/>
      </w:pPr>
      <w:r>
        <w:t xml:space="preserve">A $180,000 initial budget will drive this Venezuela Caracas Marketing Plan:</w:t>
      </w:r>
    </w:p>
    <w:p>
      <w:pPr>
        <w:numPr>
          <w:ilvl w:val="0"/>
          <w:numId w:val="1005"/>
        </w:numPr>
        <w:pStyle w:val="Compact"/>
      </w:pPr>
      <w:r>
        <w:rPr>
          <w:iCs/>
          <w:i/>
        </w:rPr>
        <w:t xml:space="preserve">Digital Infrastructure (45%):</w:t>
      </w:r>
      <w:r>
        <w:t xml:space="preserve"> </w:t>
      </w:r>
      <w:r>
        <w:t xml:space="preserve">$81,000 for app integrations, low-bandwidth content tech, and encrypted distribution systems.</w:t>
      </w:r>
    </w:p>
    <w:p>
      <w:pPr>
        <w:numPr>
          <w:ilvl w:val="0"/>
          <w:numId w:val="1005"/>
        </w:numPr>
        <w:pStyle w:val="Compact"/>
      </w:pPr>
      <w:r>
        <w:rPr>
          <w:iCs/>
          <w:i/>
        </w:rPr>
        <w:t xml:space="preserve">Localized Content (35%):</w:t>
      </w:r>
      <w:r>
        <w:t xml:space="preserve"> </w:t>
      </w:r>
      <w:r>
        <w:t xml:space="preserve">$63,000 for Venezuela-focused reporting teams and academic partnerships.</w:t>
      </w:r>
    </w:p>
    <w:p>
      <w:pPr>
        <w:numPr>
          <w:ilvl w:val="0"/>
          <w:numId w:val="1005"/>
        </w:numPr>
        <w:pStyle w:val="Compact"/>
      </w:pPr>
      <w:r>
        <w:rPr>
          <w:iCs/>
          <w:i/>
        </w:rPr>
        <w:t xml:space="preserve">Trust-Building Initiatives (20%):</w:t>
      </w:r>
      <w:r>
        <w:t xml:space="preserve"> </w:t>
      </w:r>
      <w:r>
        <w:t xml:space="preserve">$36,000 for events and community engagement.</w:t>
      </w:r>
    </w:p>
    <w:p>
      <w:pPr>
        <w:pStyle w:val="FirstParagraph"/>
      </w:pPr>
      <w:r>
        <w:rPr>
          <w:bCs/>
          <w:b/>
        </w:rPr>
        <w:t xml:space="preserve">Trajectory:</w:t>
      </w:r>
      <w:r>
        <w:t xml:space="preserve"> </w:t>
      </w:r>
      <w:r>
        <w:t xml:space="preserve">Months 1-3: Tech setup &amp; pilot partnerships. Months 4-9: Launch "Venezuela Briefing," secure first 250 subscriptions through academic channels. Months 10-18: Scale to target of 500 subscriptions via corporate partnerships and viral referral programs.</w:t>
      </w:r>
    </w:p>
    <w:bookmarkEnd w:id="24"/>
    <w:bookmarkStart w:id="25" w:name="Xa58a222028ca57110b57ddab09506b5c9f2b725"/>
    <w:p>
      <w:pPr>
        <w:pStyle w:val="Heading2"/>
      </w:pPr>
      <w:r>
        <w:t xml:space="preserve">Risk Mitigation for Venezuela Caracas Operations</w:t>
      </w:r>
    </w:p>
    <w:p>
      <w:pPr>
        <w:pStyle w:val="FirstParagraph"/>
      </w:pPr>
      <w:r>
        <w:t xml:space="preserve">Proactive measures address key challenges:</w:t>
      </w:r>
    </w:p>
    <w:p>
      <w:pPr>
        <w:numPr>
          <w:ilvl w:val="0"/>
          <w:numId w:val="1006"/>
        </w:numPr>
        <w:pStyle w:val="Compact"/>
      </w:pPr>
      <w:r>
        <w:rPr>
          <w:iCs/>
          <w:i/>
        </w:rPr>
        <w:t xml:space="preserve">Regulatory Risk:</w:t>
      </w:r>
      <w:r>
        <w:t xml:space="preserve"> </w:t>
      </w:r>
      <w:r>
        <w:t xml:space="preserve">All content will undergo dual review by The Economist's legal team and a Venezuela-based compliance consultant to avoid policy violations. Subscriptions will be marketed as "global economic intelligence for Venezuelan professionals" rather than foreign media.</w:t>
      </w:r>
    </w:p>
    <w:p>
      <w:pPr>
        <w:numPr>
          <w:ilvl w:val="0"/>
          <w:numId w:val="1006"/>
        </w:numPr>
        <w:pStyle w:val="Compact"/>
      </w:pPr>
      <w:r>
        <w:rPr>
          <w:iCs/>
          <w:i/>
        </w:rPr>
        <w:t xml:space="preserve">Pricing Volatility:</w:t>
      </w:r>
      <w:r>
        <w:t xml:space="preserve"> </w:t>
      </w:r>
      <w:r>
        <w:t xml:space="preserve">Use stablecoin payments (USDT) to eliminate currency fluctuation risks; offer 12-month subscriptions at fixed USD rates.</w:t>
      </w:r>
    </w:p>
    <w:p>
      <w:pPr>
        <w:numPr>
          <w:ilvl w:val="0"/>
          <w:numId w:val="1006"/>
        </w:numPr>
        <w:pStyle w:val="Compact"/>
      </w:pPr>
      <w:r>
        <w:rPr>
          <w:iCs/>
          <w:i/>
        </w:rPr>
        <w:t xml:space="preserve">Competition:</w:t>
      </w:r>
      <w:r>
        <w:t xml:space="preserve"> </w:t>
      </w:r>
      <w:r>
        <w:t xml:space="preserve">Differentiate from free alternatives (e.g., local news sites) by emphasizing The Economist's unique global network and data credibility—critical for decision-makers in Venezuela Caracas' opaque market.</w:t>
      </w:r>
    </w:p>
    <w:bookmarkEnd w:id="25"/>
    <w:bookmarkStart w:id="26" w:name="conclusion-why-this-marketing-plan-works"/>
    <w:p>
      <w:pPr>
        <w:pStyle w:val="Heading2"/>
      </w:pPr>
      <w:r>
        <w:t xml:space="preserve">Conclusion: Why This Marketing Plan Works</w:t>
      </w:r>
    </w:p>
    <w:p>
      <w:pPr>
        <w:pStyle w:val="FirstParagraph"/>
      </w:pPr>
      <w:r>
        <w:t xml:space="preserve">This strategic Marketing Plan leverages The Economist's unparalleled authority to solve Venezuela Caracas' most acute challenge: accessing reliable economic intelligence amid crisis. By focusing exclusively on digital channels, hyper-localized content, and trusted partnerships—while respecting regulatory realities—we create a sustainable pathway to market entry. Unlike competitors who offer superficial news, The Economist delivers the analytical rigor that Venezuelan executives desperately need to protect their businesses and careers. This is not merely a subscription service; it's an essential economic survival tool for Caracas' leadership class. We project 500 high-value subscribers by Month 18, establishing The Economist as Venezuela's definitive economic resource despite the nation's turbulent environment.</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Economist Marketing Plan: Venezuela Caracas Strategy</dc:title>
  <dc:creator/>
  <dc:language>en</dc:language>
  <cp:keywords/>
  <dcterms:created xsi:type="dcterms:W3CDTF">2026-07-24T06:15:50Z</dcterms:created>
  <dcterms:modified xsi:type="dcterms:W3CDTF">2026-07-24T06:15:50Z</dcterms:modified>
</cp:coreProperties>
</file>

<file path=docProps/custom.xml><?xml version="1.0" encoding="utf-8"?>
<Properties xmlns="http://schemas.openxmlformats.org/officeDocument/2006/custom-properties" xmlns:vt="http://schemas.openxmlformats.org/officeDocument/2006/docPropsVTypes"/>
</file>