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1efef7fa12c43e85910fd410f6ec5df94118bfb"/>
    <w:p>
      <w:pPr>
        <w:pStyle w:val="Heading1"/>
      </w:pPr>
      <w:r>
        <w:t xml:space="preserve">Strategic Marketing Plan for The Economist in Ho Chi Minh City, Vietnam</w:t>
      </w:r>
    </w:p>
    <w:bookmarkStart w:id="20" w:name="executive-summary"/>
    <w:p>
      <w:pPr>
        <w:pStyle w:val="Heading2"/>
      </w:pPr>
      <w:r>
        <w:t xml:space="preserve">Executive Summary</w:t>
      </w:r>
    </w:p>
    <w:p>
      <w:pPr>
        <w:pStyle w:val="FirstParagraph"/>
      </w:pPr>
      <w:r>
        <w:t xml:space="preserve">This comprehensive Marketing Plan outlines a targeted strategy to establish The Economist as the indispensable global intelligence source for business leaders, policymakers, and educated professionals in Ho Chi Minh City (HCMC), Vietnam. Capitalizing on HCMC's position as Vietnam's economic engine and the nation's fastest-growing urban market, this plan leverages The Economist’s unparalleled global perspective to address critical knowledge gaps in Vietnam’s dynamic business ecosystem. With HCMC driving 25% of Vietnam’s GDP and hosting over 100 multinational corporate headquarters, The Economist presents a unique opportunity to become the cornerstone of strategic decision-making for Vietnam's elite.</w:t>
      </w:r>
    </w:p>
    <w:bookmarkEnd w:id="20"/>
    <w:bookmarkStart w:id="21" w:name="X10b9a6aa4250dadbef59da579eceed55d443331"/>
    <w:p>
      <w:pPr>
        <w:pStyle w:val="Heading2"/>
      </w:pPr>
      <w:r>
        <w:t xml:space="preserve">Market Analysis: Ho Chi Minh City as a Strategic Hub</w:t>
      </w:r>
    </w:p>
    <w:p>
      <w:pPr>
        <w:pStyle w:val="FirstParagraph"/>
      </w:pPr>
      <w:r>
        <w:t xml:space="preserve">Ho Chi Minh City stands at the epicenter of Vietnam's economic transformation, with 5.8 million skilled professionals and a 6.9% annual GDP growth rate (World Bank, 2023). The city is home to Vietnam’s most sophisticated business community, including executives from Fortune 500 subsidiaries, tech unicorns (e.g., MoMo, VNG), and government officials navigating complex trade dynamics with the US, EU, and ASEAN. However, a critical gap exists: local media lacks deep geopolitical analysis of global market shifts impacting Vietnam. While platforms like VnExpress provide news coverage, they lack The Economist’s authoritative analysis of supply chain disruptions (e.g., U.S.-China tariffs), ESG regulations affecting Vietnamese manufacturing exports, and investment trends in Southeast Asia’s digital economy.</w:t>
      </w:r>
    </w:p>
    <w:p>
      <w:pPr>
        <w:pStyle w:val="BodyText"/>
      </w:pPr>
      <w:r>
        <w:t xml:space="preserve">Recent data reveals 74% of HCMC-based CEOs cite "global market uncertainty" as their top strategic challenge (PwC Vietnam, 2024). This creates a direct demand for The Economist’s signature insights. Furthermore, Vietnam’s digital adoption rate has surged to 85%, with HCMC leading in premium subscription uptake—making digital subscriptions the most viable growth channel.</w:t>
      </w:r>
    </w:p>
    <w:bookmarkEnd w:id="21"/>
    <w:bookmarkStart w:id="22" w:name="target-audience-precision-defined"/>
    <w:p>
      <w:pPr>
        <w:pStyle w:val="Heading2"/>
      </w:pPr>
      <w:r>
        <w:t xml:space="preserve">Target Audience: Precision-Defined</w:t>
      </w:r>
    </w:p>
    <w:p>
      <w:pPr>
        <w:pStyle w:val="FirstParagraph"/>
      </w:pPr>
      <w:r>
        <w:t xml:space="preserve">This Marketing Plan focuses on three high-value segments within Ho Chi Minh City:</w:t>
      </w:r>
    </w:p>
    <w:p>
      <w:pPr>
        <w:numPr>
          <w:ilvl w:val="0"/>
          <w:numId w:val="1001"/>
        </w:numPr>
        <w:pStyle w:val="Compact"/>
      </w:pPr>
      <w:r>
        <w:rPr>
          <w:bCs/>
          <w:b/>
        </w:rPr>
        <w:t xml:space="preserve">C-Suite Executives (45% of target):</w:t>
      </w:r>
      <w:r>
        <w:t xml:space="preserve"> </w:t>
      </w:r>
      <w:r>
        <w:t xml:space="preserve">CEOs and CFOs of multinational subsidiaries, Vietnamese conglomerates (e.g., Vingroup, Masan), and leading tech firms requiring strategic foresight for cross-border operations.</w:t>
      </w:r>
    </w:p>
    <w:p>
      <w:pPr>
        <w:numPr>
          <w:ilvl w:val="0"/>
          <w:numId w:val="1001"/>
        </w:numPr>
        <w:pStyle w:val="Compact"/>
      </w:pPr>
      <w:r>
        <w:rPr>
          <w:bCs/>
          <w:b/>
        </w:rPr>
        <w:t xml:space="preserve">Policymakers &amp; Economic Advisors (30%):</w:t>
      </w:r>
      <w:r>
        <w:t xml:space="preserve"> </w:t>
      </w:r>
      <w:r>
        <w:t xml:space="preserve">Ministry officials (e.g., Ministry of Planning and Investment), State Bank economists, and think tanks needing data-driven insights to shape Vietnam’s economic policy amid global volatility.</w:t>
      </w:r>
    </w:p>
    <w:p>
      <w:pPr>
        <w:numPr>
          <w:ilvl w:val="0"/>
          <w:numId w:val="1001"/>
        </w:numPr>
        <w:pStyle w:val="Compact"/>
      </w:pPr>
      <w:r>
        <w:rPr>
          <w:bCs/>
          <w:b/>
        </w:rPr>
        <w:t xml:space="preserve">High-Income Professionals &amp; Academics (25%):</w:t>
      </w:r>
      <w:r>
        <w:t xml:space="preserve"> </w:t>
      </w:r>
      <w:r>
        <w:t xml:space="preserve">Consultants, venture capitalists, university professors at top institutions (e.g., HCMC University of Economics), and expat communities seeking nuanced analysis beyond headline news.</w:t>
      </w:r>
    </w:p>
    <w:bookmarkEnd w:id="22"/>
    <w:bookmarkStart w:id="23" w:name="X920075567893bfac4769c737ae77942675cc0af"/>
    <w:p>
      <w:pPr>
        <w:pStyle w:val="Heading2"/>
      </w:pPr>
      <w:r>
        <w:t xml:space="preserve">Core Value Proposition for Vietnam Ho Chi Minh City</w:t>
      </w:r>
    </w:p>
    <w:p>
      <w:pPr>
        <w:pStyle w:val="FirstParagraph"/>
      </w:pPr>
      <w:r>
        <w:t xml:space="preserve">The Economist delivers more than news—it provides a strategic advantage. For HCMC’s business elite, The Economist solves three critical pain points:</w:t>
      </w:r>
    </w:p>
    <w:p>
      <w:pPr>
        <w:numPr>
          <w:ilvl w:val="0"/>
          <w:numId w:val="1002"/>
        </w:numPr>
        <w:pStyle w:val="Compact"/>
      </w:pPr>
      <w:r>
        <w:rPr>
          <w:bCs/>
          <w:b/>
        </w:rPr>
        <w:t xml:space="preserve">Global-Local Context:</w:t>
      </w:r>
      <w:r>
        <w:t xml:space="preserve"> </w:t>
      </w:r>
      <w:r>
        <w:t xml:space="preserve">Explains how U.S. interest rates impact Vietnam's export competitiveness or EU carbon taxes affect textile manufacturers.</w:t>
      </w:r>
    </w:p>
    <w:p>
      <w:pPr>
        <w:numPr>
          <w:ilvl w:val="0"/>
          <w:numId w:val="1002"/>
        </w:numPr>
        <w:pStyle w:val="Compact"/>
      </w:pPr>
      <w:r>
        <w:rPr>
          <w:bCs/>
          <w:b/>
        </w:rPr>
        <w:t xml:space="preserve">Decision Confidence:</w:t>
      </w:r>
      <w:r>
        <w:t xml:space="preserve"> </w:t>
      </w:r>
      <w:r>
        <w:t xml:space="preserve">Data-backed analysis of ASEAN investment trends (e.g., EV battery production shifts) that local sources omit.</w:t>
      </w:r>
    </w:p>
    <w:p>
      <w:pPr>
        <w:numPr>
          <w:ilvl w:val="0"/>
          <w:numId w:val="1002"/>
        </w:numPr>
        <w:pStyle w:val="Compact"/>
      </w:pPr>
      <w:r>
        <w:rPr>
          <w:bCs/>
          <w:b/>
        </w:rPr>
        <w:t xml:space="preserve">Credibility in Uncertainty:</w:t>
      </w:r>
      <w:r>
        <w:t xml:space="preserve"> </w:t>
      </w:r>
      <w:r>
        <w:t xml:space="preserve">Trusted by 85% of Fortune 500 leaders globally, offering a neutral lens amid Vietnam’s complex geopolitical landscape.</w:t>
      </w:r>
    </w:p>
    <w:bookmarkEnd w:id="23"/>
    <w:bookmarkStart w:id="28" w:name="X6d26fcb08032ad487d120ce9e707765339d012c"/>
    <w:p>
      <w:pPr>
        <w:pStyle w:val="Heading2"/>
      </w:pPr>
      <w:r>
        <w:t xml:space="preserve">Marketing Strategy: Hyper-Localized Tactics</w:t>
      </w:r>
    </w:p>
    <w:p>
      <w:pPr>
        <w:pStyle w:val="FirstParagraph"/>
      </w:pPr>
      <w:r>
        <w:t xml:space="preserve">This strategy avoids generic global tactics and focuses on HCMC-specific engagement:</w:t>
      </w:r>
    </w:p>
    <w:bookmarkStart w:id="25" w:name="digital-content-localization"/>
    <w:p>
      <w:pPr>
        <w:pStyle w:val="Heading3"/>
      </w:pPr>
      <w:r>
        <w:t xml:space="preserve">1. Digital &amp; Content Localization</w:t>
      </w:r>
    </w:p>
    <w:p>
      <w:pPr>
        <w:numPr>
          <w:ilvl w:val="0"/>
          <w:numId w:val="1003"/>
        </w:numPr>
        <w:pStyle w:val="Compact"/>
      </w:pPr>
      <w:r>
        <w:rPr>
          <w:bCs/>
          <w:b/>
        </w:rPr>
        <w:t xml:space="preserve">HCMC-Specific Digital Hub:</w:t>
      </w:r>
      <w:r>
        <w:t xml:space="preserve"> </w:t>
      </w:r>
      <w:r>
        <w:t xml:space="preserve">Launch a Vietnamese-language microsite (</w:t>
      </w:r>
      <w:hyperlink r:id="rId24">
        <w:r>
          <w:rPr>
            <w:rStyle w:val="Hyperlink"/>
          </w:rPr>
          <w:t xml:space="preserve">theeconomist.vn</w:t>
        </w:r>
      </w:hyperlink>
      <w:r>
        <w:t xml:space="preserve">) featuring curated content on "Vietnam Business Outlook" and "ASEAN Supply Chain Shifts," with downloadable reports in Vietnamese.</w:t>
      </w:r>
    </w:p>
    <w:p>
      <w:pPr>
        <w:numPr>
          <w:ilvl w:val="0"/>
          <w:numId w:val="1003"/>
        </w:numPr>
        <w:pStyle w:val="Compact"/>
      </w:pPr>
      <w:r>
        <w:rPr>
          <w:bCs/>
          <w:b/>
        </w:rPr>
        <w:t xml:space="preserve">Zalo &amp; Facebook Engagement:</w:t>
      </w:r>
      <w:r>
        <w:t xml:space="preserve"> </w:t>
      </w:r>
      <w:r>
        <w:t xml:space="preserve">Partner with top HCMC influencers (e.g., business commentators on Zalo) for live Q&amp;As dissecting The Economist’s latest analysis of Vietnam’s EV policy changes.</w:t>
      </w:r>
    </w:p>
    <w:bookmarkEnd w:id="25"/>
    <w:bookmarkStart w:id="26" w:name="Xa78e2422be1767e4a07f24212163c08201ab4f2"/>
    <w:p>
      <w:pPr>
        <w:pStyle w:val="Heading3"/>
      </w:pPr>
      <w:r>
        <w:t xml:space="preserve">2. Strategic Partnerships in Ho Chi Minh City</w:t>
      </w:r>
    </w:p>
    <w:p>
      <w:pPr>
        <w:numPr>
          <w:ilvl w:val="0"/>
          <w:numId w:val="1004"/>
        </w:numPr>
        <w:pStyle w:val="Compact"/>
      </w:pPr>
      <w:r>
        <w:rPr>
          <w:bCs/>
          <w:b/>
        </w:rPr>
        <w:t xml:space="preserve">Collaborate with HCMC Business Chambers:</w:t>
      </w:r>
      <w:r>
        <w:t xml:space="preserve"> </w:t>
      </w:r>
      <w:r>
        <w:t xml:space="preserve">Co-host exclusive "Economist Insights" dinners at the Saigon Convention Center for chamber members, featuring The Economist’s Asia editor analyzing Vietnam’s post-2025 trade opportunities.</w:t>
      </w:r>
    </w:p>
    <w:p>
      <w:pPr>
        <w:numPr>
          <w:ilvl w:val="0"/>
          <w:numId w:val="1004"/>
        </w:numPr>
        <w:pStyle w:val="Compact"/>
      </w:pPr>
      <w:r>
        <w:rPr>
          <w:bCs/>
          <w:b/>
        </w:rPr>
        <w:t xml:space="preserve">Academic Alliances:</w:t>
      </w:r>
      <w:r>
        <w:t xml:space="preserve"> </w:t>
      </w:r>
      <w:r>
        <w:t xml:space="preserve">Supply free institutional subscriptions to HCMC University of Economics and Hoa Sen University, embedding The Economist into executive MBA curricula.</w:t>
      </w:r>
    </w:p>
    <w:bookmarkEnd w:id="26"/>
    <w:bookmarkStart w:id="27" w:name="premium-events-in-vietnams-capital"/>
    <w:p>
      <w:pPr>
        <w:pStyle w:val="Heading3"/>
      </w:pPr>
      <w:r>
        <w:t xml:space="preserve">3. Premium Events in Vietnam’s Capital</w:t>
      </w:r>
    </w:p>
    <w:p>
      <w:pPr>
        <w:numPr>
          <w:ilvl w:val="0"/>
          <w:numId w:val="1005"/>
        </w:numPr>
        <w:pStyle w:val="Compact"/>
      </w:pPr>
      <w:r>
        <w:rPr>
          <w:bCs/>
          <w:b/>
        </w:rPr>
        <w:t xml:space="preserve">"Vietnam 2040 Summit" (HCMC):</w:t>
      </w:r>
      <w:r>
        <w:t xml:space="preserve"> </w:t>
      </w:r>
      <w:r>
        <w:t xml:space="preserve">Annual invitation-only event with keynote speakers like The Economist’s Global Editor, focusing on Vietnam’s role in the US-China de-risking trend. Target: 150 high-net-worth attendees per year.</w:t>
      </w:r>
    </w:p>
    <w:p>
      <w:pPr>
        <w:numPr>
          <w:ilvl w:val="0"/>
          <w:numId w:val="1005"/>
        </w:numPr>
        <w:pStyle w:val="Compact"/>
      </w:pPr>
      <w:r>
        <w:rPr>
          <w:bCs/>
          <w:b/>
        </w:rPr>
        <w:t xml:space="preserve">Pop-Up "Economist Briefings" at District 1 Office Parks:</w:t>
      </w:r>
      <w:r>
        <w:t xml:space="preserve"> </w:t>
      </w:r>
      <w:r>
        <w:t xml:space="preserve">Free lunchtime sessions at major business hubs (e.g., Landmark 81, Saigon Trade Center) offering 20-minute deep dives into topics like "Navigating Vietnam’s New Data Localization Laws."</w:t>
      </w:r>
    </w:p>
    <w:bookmarkEnd w:id="27"/>
    <w:bookmarkEnd w:id="28"/>
    <w:bookmarkStart w:id="29" w:name="budget-allocation-measurement"/>
    <w:p>
      <w:pPr>
        <w:pStyle w:val="Heading2"/>
      </w:pPr>
      <w:r>
        <w:t xml:space="preserve">Budget Allocation &amp; Measurement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Investment (USD)</w:t>
            </w:r>
          </w:p>
        </w:tc>
        <w:tc>
          <w:tcPr/>
          <w:p>
            <w:pPr>
              <w:pStyle w:val="Compact"/>
              <w:jc w:val="left"/>
            </w:pPr>
            <w:r>
              <w:t xml:space="preserve">KPI</w:t>
            </w:r>
          </w:p>
        </w:tc>
      </w:tr>
      <w:tr>
        <w:tc>
          <w:tcPr/>
          <w:p>
            <w:pPr>
              <w:pStyle w:val="Compact"/>
              <w:jc w:val="left"/>
            </w:pPr>
            <w:r>
              <w:t xml:space="preserve">HCMC Microsite &amp; Localization</w:t>
            </w:r>
          </w:p>
        </w:tc>
        <w:tc>
          <w:tcPr/>
          <w:p>
            <w:pPr>
              <w:pStyle w:val="Compact"/>
              <w:jc w:val="left"/>
            </w:pPr>
            <w:r>
              <w:t xml:space="preserve">$45,000</w:t>
            </w:r>
          </w:p>
        </w:tc>
        <w:tc>
          <w:tcPr/>
          <w:p>
            <w:pPr>
              <w:pStyle w:val="Compact"/>
              <w:jc w:val="left"/>
            </w:pPr>
            <w:r>
              <w:t xml:space="preserve">25% increase in Vietnamese-language content engagement; 15% subscription conversion from site traffic</w:t>
            </w:r>
          </w:p>
        </w:tc>
      </w:tr>
      <w:tr>
        <w:tc>
          <w:tcPr/>
          <w:p>
            <w:pPr>
              <w:pStyle w:val="Compact"/>
              <w:jc w:val="left"/>
            </w:pPr>
            <w:r>
              <w:t xml:space="preserve">Strategic Partnerships (Chambers/Academia)</w:t>
            </w:r>
          </w:p>
        </w:tc>
        <w:tc>
          <w:tcPr/>
          <w:p>
            <w:pPr>
              <w:pStyle w:val="Compact"/>
              <w:jc w:val="left"/>
            </w:pPr>
            <w:r>
              <w:t xml:space="preserve">$60,000</w:t>
            </w:r>
          </w:p>
        </w:tc>
        <w:tc>
          <w:tcPr/>
          <w:p>
            <w:pPr>
              <w:pStyle w:val="Compact"/>
              <w:jc w:val="left"/>
            </w:pPr>
            <w:r>
              <w:t xml:space="preserve">12+ institutional partnerships; 3,000 new premium subscribers via partner channels</w:t>
            </w:r>
          </w:p>
        </w:tc>
      </w:tr>
      <w:tr>
        <w:tc>
          <w:tcPr/>
          <w:p>
            <w:pPr>
              <w:pStyle w:val="Compact"/>
              <w:jc w:val="left"/>
            </w:pPr>
            <w:r>
              <w:t xml:space="preserve">HCMC Summit &amp; Pop-Up Events</w:t>
            </w:r>
          </w:p>
        </w:tc>
        <w:tc>
          <w:tcPr/>
          <w:p>
            <w:pPr>
              <w:pStyle w:val="Compact"/>
              <w:jc w:val="left"/>
            </w:pPr>
            <w:r>
              <w:t xml:space="preserve">$75,000</w:t>
            </w:r>
          </w:p>
        </w:tc>
        <w:tc>
          <w:tcPr/>
          <w:p>
            <w:pPr>
              <w:pStyle w:val="Compact"/>
              <w:jc w:val="left"/>
            </w:pPr>
            <w:r>
              <w:t xml:space="preserve">95% attendee satisfaction; 45% of attendees converting to annual subscriptions</w:t>
            </w:r>
          </w:p>
        </w:tc>
      </w:tr>
    </w:tbl>
    <w:bookmarkEnd w:id="29"/>
    <w:bookmarkStart w:id="30" w:name="X75a7f727485585cd0b98fc68e0aa79ef0d098cf"/>
    <w:p>
      <w:pPr>
        <w:pStyle w:val="Heading2"/>
      </w:pPr>
      <w:r>
        <w:t xml:space="preserve">Why This Plan Works for Ho Chi Minh City and The Economist</w:t>
      </w:r>
    </w:p>
    <w:p>
      <w:pPr>
        <w:pStyle w:val="FirstParagraph"/>
      </w:pPr>
      <w:r>
        <w:t xml:space="preserve">This Marketing Plan transcends standard market entry by embedding The Economist into HCMC’s strategic fabric. Unlike competitors, we don’t just translate content—we contextualize it for Vietnam’s unique challenges: tariff wars affecting shoe exports, EV subsidies changing auto supply chains, or digital tax policies impacting e-commerce startups. By anchoring our strategy in HCMC’s economic heartbeat—the city driving 70% of Vietnam’s FDI inflows (World Investment Report 2024)—we position The Economist as the non-negotiable intelligence tool for those shaping Vietnam’s future.</w:t>
      </w:r>
    </w:p>
    <w:p>
      <w:pPr>
        <w:pStyle w:val="BodyText"/>
      </w:pPr>
      <w:r>
        <w:t xml:space="preserve">Within 18 months, this plan targets a 35% market share among premium business intelligence subscribers in HCMC, establishing The Economist not merely as a publication but as the definitive strategic partner for Vietnam’s most influential leaders. This isn’t just about selling subscriptions; it’s about becoming the foundation of decision-making for Vietnam's capital and its role in global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theeconomist.vn" TargetMode="External" /></Relationships>
</file>

<file path=word/_rels/footnotes.xml.rels><?xml version="1.0" encoding="UTF-8"?><Relationships xmlns="http://schemas.openxmlformats.org/package/2006/relationships"><Relationship Type="http://schemas.openxmlformats.org/officeDocument/2006/relationships/hyperlink" Id="rId24" Target="theeconomist.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Ho Chi Minh City, Vietnam</dc:title>
  <dc:creator/>
  <dc:language>en</dc:language>
  <cp:keywords/>
  <dcterms:created xsi:type="dcterms:W3CDTF">2026-07-24T21:50:34Z</dcterms:created>
  <dcterms:modified xsi:type="dcterms:W3CDTF">2026-07-24T21:50:34Z</dcterms:modified>
</cp:coreProperties>
</file>

<file path=docProps/custom.xml><?xml version="1.0" encoding="utf-8"?>
<Properties xmlns="http://schemas.openxmlformats.org/officeDocument/2006/custom-properties" xmlns:vt="http://schemas.openxmlformats.org/officeDocument/2006/docPropsVTypes"/>
</file>