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China</w:t>
      </w:r>
      <w:r>
        <w:t xml:space="preserve"> </w:t>
      </w:r>
      <w:r>
        <w:t xml:space="preserve">Beijing</w:t>
      </w:r>
      <w:r>
        <w:t xml:space="preserve"> </w:t>
      </w:r>
      <w:r>
        <w:t xml:space="preserve">Market</w:t>
      </w:r>
      <w:r>
        <w:t xml:space="preserve"> </w:t>
      </w:r>
      <w:r>
        <w:t xml:space="preserve">Strategy</w:t>
      </w:r>
    </w:p>
    <w:bookmarkStart w:id="28" w:name="X7063ece2d6f75c4d245dc20b2c7f9379aaac8e8"/>
    <w:p>
      <w:pPr>
        <w:pStyle w:val="Heading1"/>
      </w:pPr>
      <w:r>
        <w:t xml:space="preserve">Marketing Plan for Editor: Strategic Entry into the China Beijing Digital Content Ecosystem</w:t>
      </w:r>
    </w:p>
    <w:bookmarkStart w:id="20" w:name="executive-summary"/>
    <w:p>
      <w:pPr>
        <w:pStyle w:val="Heading2"/>
      </w:pPr>
      <w:r>
        <w:t xml:space="preserve">Executive Summary</w:t>
      </w:r>
    </w:p>
    <w:p>
      <w:pPr>
        <w:pStyle w:val="FirstParagraph"/>
      </w:pPr>
      <w:r>
        <w:t xml:space="preserve">This comprehensive Marketing Plan outlines the strategic approach to launch and scale "Editor," a next-generation cloud-based content creation and collaboration platform, within the highly dynamic digital landscape of Beijing, China. Targeting enterprises, media organizations, and creative agencies operating in Beijing's core business districts (e.g., Chaoyang District, Haidian Science Park), this plan leverages local market insights to position Editor as the indispensable tool for efficient content production. The strategy prioritizes cultural alignment, regulatory compliance within the China Beijing ecosystem, and deep integration with local digital workflows to achieve 30% market share penetration among target segments within 18 months.</w:t>
      </w:r>
    </w:p>
    <w:bookmarkEnd w:id="20"/>
    <w:bookmarkStart w:id="21" w:name="market-analysis-china-beijing-context"/>
    <w:p>
      <w:pPr>
        <w:pStyle w:val="Heading2"/>
      </w:pPr>
      <w:r>
        <w:t xml:space="preserve">Market Analysis: China Beijing Context</w:t>
      </w:r>
    </w:p>
    <w:p>
      <w:pPr>
        <w:pStyle w:val="FirstParagraph"/>
      </w:pPr>
      <w:r>
        <w:t xml:space="preserve">Beijing serves as the epicenter of China's media, technology, and government communications sectors. With over 450,000 registered enterprises in the digital content and publishing space (Beijing Statistics Bureau, 2023), demand for efficient editorial tools is surging. Current solutions face critical gaps: legacy systems lack real-time collaboration capabilities required by Beijing's fast-paced marketing teams; Western platforms often ignore Chinese language nuances and data sovereignty laws; and localized WeChat-based tools lack advanced content management features. The China Beijing market specifically demands solutions that comply with the Cyber Security Law, integrate seamlessly with domestic platforms (WeChat Official Accounts, Jinri Toutiao), and support both Simplified Chinese workflows and bilingual output for multinational firms headquartered in Beijing. This creates a significant opportunity for Editor to fill this unmet need.</w:t>
      </w:r>
    </w:p>
    <w:bookmarkEnd w:id="21"/>
    <w:bookmarkStart w:id="22" w:name="X2c836e226db3e8fdd3dbb5206547f83def40981"/>
    <w:p>
      <w:pPr>
        <w:pStyle w:val="Heading2"/>
      </w:pPr>
      <w:r>
        <w:t xml:space="preserve">Target Audience: Beijing-Specific Segments</w:t>
      </w:r>
    </w:p>
    <w:p>
      <w:pPr>
        <w:pStyle w:val="FirstParagraph"/>
      </w:pPr>
      <w:r>
        <w:t xml:space="preserve">Our primary focus is on three high-value segments within China Beijing:</w:t>
      </w:r>
    </w:p>
    <w:p>
      <w:pPr>
        <w:numPr>
          <w:ilvl w:val="0"/>
          <w:numId w:val="1001"/>
        </w:numPr>
        <w:pStyle w:val="Compact"/>
      </w:pPr>
      <w:r>
        <w:rPr>
          <w:bCs/>
          <w:b/>
        </w:rPr>
        <w:t xml:space="preserve">Beijing-Based Media &amp; Publishing Houses:</w:t>
      </w:r>
      <w:r>
        <w:t xml:space="preserve"> </w:t>
      </w:r>
      <w:r>
        <w:t xml:space="preserve">(e.g., People's Daily, CCTV subsidiaries) requiring multi-editor collaboration for daily news cycles compliant with Chinese editorial standards.</w:t>
      </w:r>
    </w:p>
    <w:p>
      <w:pPr>
        <w:numPr>
          <w:ilvl w:val="0"/>
          <w:numId w:val="1001"/>
        </w:numPr>
        <w:pStyle w:val="Compact"/>
      </w:pPr>
      <w:r>
        <w:rPr>
          <w:bCs/>
          <w:b/>
        </w:rPr>
        <w:t xml:space="preserve">High-Tech Enterprises in Haidian Science Park:</w:t>
      </w:r>
      <w:r>
        <w:t xml:space="preserve"> </w:t>
      </w:r>
      <w:r>
        <w:t xml:space="preserve">Tech startups and unicorns (e.g., ByteDance affiliates, Baidu subsidiaries) needing agile content creation for product launches and investor communications.</w:t>
      </w:r>
    </w:p>
    <w:p>
      <w:pPr>
        <w:numPr>
          <w:ilvl w:val="0"/>
          <w:numId w:val="1001"/>
        </w:numPr>
        <w:pStyle w:val="Compact"/>
      </w:pPr>
      <w:r>
        <w:rPr>
          <w:bCs/>
          <w:b/>
        </w:rPr>
        <w:t xml:space="preserve">Multinational Corporate HQs in Beijing:</w:t>
      </w:r>
      <w:r>
        <w:t xml:space="preserve"> </w:t>
      </w:r>
      <w:r>
        <w:t xml:space="preserve">Global firms with China headquarters requiring localized content production while maintaining global brand consistency across Chinese and English outputs.</w:t>
      </w:r>
    </w:p>
    <w:p>
      <w:pPr>
        <w:pStyle w:val="FirstParagraph"/>
      </w:pPr>
      <w:r>
        <w:t xml:space="preserve">Each segment prioritizes features like AI-powered Chinese grammar correction, instant compliance checks against China's content regulations, and seamless WeChat publishing – core strengths of the Editor platform.</w:t>
      </w:r>
    </w:p>
    <w:bookmarkEnd w:id="22"/>
    <w:bookmarkStart w:id="23" w:name="competitive-landscape-in-china-beijing"/>
    <w:p>
      <w:pPr>
        <w:pStyle w:val="Heading2"/>
      </w:pPr>
      <w:r>
        <w:t xml:space="preserve">Competitive Landscape in China Beijing</w:t>
      </w:r>
    </w:p>
    <w:p>
      <w:pPr>
        <w:pStyle w:val="FirstParagraph"/>
      </w:pPr>
      <w:r>
        <w:t xml:space="preserve">The competitive environment in Beijing is fragmented. Key competitors include:</w:t>
      </w:r>
    </w:p>
    <w:p>
      <w:pPr>
        <w:numPr>
          <w:ilvl w:val="0"/>
          <w:numId w:val="1002"/>
        </w:numPr>
        <w:pStyle w:val="Compact"/>
      </w:pPr>
      <w:r>
        <w:rPr>
          <w:iCs/>
          <w:i/>
        </w:rPr>
        <w:t xml:space="preserve">WeChat Official Account Manager:</w:t>
      </w:r>
      <w:r>
        <w:t xml:space="preserve"> </w:t>
      </w:r>
      <w:r>
        <w:t xml:space="preserve">Dominates basic content scheduling but lacks advanced editing, version control, or multi-user collaboration for professional teams.</w:t>
      </w:r>
    </w:p>
    <w:p>
      <w:pPr>
        <w:numPr>
          <w:ilvl w:val="0"/>
          <w:numId w:val="1002"/>
        </w:numPr>
        <w:pStyle w:val="Compact"/>
      </w:pPr>
      <w:r>
        <w:rPr>
          <w:iCs/>
          <w:i/>
        </w:rPr>
        <w:t xml:space="preserve">Local Chinese CMS Platforms (e.g., Tuniu Content):</w:t>
      </w:r>
      <w:r>
        <w:t xml:space="preserve"> </w:t>
      </w:r>
      <w:r>
        <w:t xml:space="preserve">Offer localization but suffer from poor UI/UX for international workflows and limited mobile integration critical in Beijing's on-the-go culture.</w:t>
      </w:r>
    </w:p>
    <w:p>
      <w:pPr>
        <w:numPr>
          <w:ilvl w:val="0"/>
          <w:numId w:val="1002"/>
        </w:numPr>
        <w:pStyle w:val="Compact"/>
      </w:pPr>
      <w:r>
        <w:rPr>
          <w:iCs/>
          <w:i/>
        </w:rPr>
        <w:t xml:space="preserve">Global Tools (e.g., WordPress, Google Docs):</w:t>
      </w:r>
      <w:r>
        <w:t xml:space="preserve"> </w:t>
      </w:r>
      <w:r>
        <w:t xml:space="preserve">Fail on data residency requirements and lack Chinese-language AI support, making them non-compliant for sensitive Beijing government or enterprise use cases.</w:t>
      </w:r>
    </w:p>
    <w:p>
      <w:pPr>
        <w:pStyle w:val="FirstParagraph"/>
      </w:pPr>
      <w:r>
        <w:t xml:space="preserve">The Editor Marketing Plan capitalizes on these weaknesses by offering a solution exclusively built for China Beijing's regulatory and operational realities, positioning it as the only truly compliant, localized, yet globally integrated platform.</w:t>
      </w:r>
    </w:p>
    <w:bookmarkEnd w:id="23"/>
    <w:bookmarkStart w:id="24" w:name="X519ba0e34f6a8b78f41898639ab87d406e49f94"/>
    <w:p>
      <w:pPr>
        <w:pStyle w:val="Heading2"/>
      </w:pPr>
      <w:r>
        <w:t xml:space="preserve">Marketing Strategy: Localization as Core Pillar</w:t>
      </w:r>
    </w:p>
    <w:p>
      <w:pPr>
        <w:pStyle w:val="FirstParagraph"/>
      </w:pPr>
      <w:r>
        <w:t xml:space="preserve">This Marketing Plan focuses on hyper-localized execution within China Beijing:</w:t>
      </w:r>
    </w:p>
    <w:p>
      <w:pPr>
        <w:numPr>
          <w:ilvl w:val="0"/>
          <w:numId w:val="1003"/>
        </w:numPr>
        <w:pStyle w:val="Compact"/>
      </w:pPr>
      <w:r>
        <w:rPr>
          <w:bCs/>
          <w:b/>
        </w:rPr>
        <w:t xml:space="preserve">Cultural &amp; Regulatory Integration:</w:t>
      </w:r>
      <w:r>
        <w:t xml:space="preserve"> </w:t>
      </w:r>
      <w:r>
        <w:t xml:space="preserve">Partner with Beijing-based legal firms to embed real-time compliance checks for content (e.g., flagging sensitive political terms per China's Cyber Security Law) directly into Editor. All marketing materials undergo strict review by the Beijing Municipal Press and Publication Administration.</w:t>
      </w:r>
    </w:p>
    <w:p>
      <w:pPr>
        <w:numPr>
          <w:ilvl w:val="0"/>
          <w:numId w:val="1003"/>
        </w:numPr>
        <w:pStyle w:val="Compact"/>
      </w:pPr>
      <w:r>
        <w:rPr>
          <w:bCs/>
          <w:b/>
        </w:rPr>
        <w:t xml:space="preserve">Beijing-First Digital Channels:</w:t>
      </w:r>
      <w:r>
        <w:t xml:space="preserve"> </w:t>
      </w:r>
      <w:r>
        <w:t xml:space="preserve">Leverage WeChat (via Official Account and Mini Programs), Bilibili for tech tutorials, and local platforms like Toutiao for targeted ads. Collaborate with Beijing influencers in the media/tech space (e.g., @BeijingTechWatch) for authentic endorsements.</w:t>
      </w:r>
    </w:p>
    <w:p>
      <w:pPr>
        <w:numPr>
          <w:ilvl w:val="0"/>
          <w:numId w:val="1003"/>
        </w:numPr>
        <w:pStyle w:val="Compact"/>
      </w:pPr>
      <w:r>
        <w:rPr>
          <w:bCs/>
          <w:b/>
        </w:rPr>
        <w:t xml:space="preserve">On-the-Ground Beijing Partnerships:</w:t>
      </w:r>
      <w:r>
        <w:t xml:space="preserve"> </w:t>
      </w:r>
      <w:r>
        <w:t xml:space="preserve">Form strategic alliances with key entities: Beijing Municipal Government's Digital Transformation Office, Haidian Science Park Incubator, and local universities (Peking University, Tsinghua) for pilot programs and talent development.</w:t>
      </w:r>
    </w:p>
    <w:p>
      <w:pPr>
        <w:numPr>
          <w:ilvl w:val="0"/>
          <w:numId w:val="1003"/>
        </w:numPr>
        <w:pStyle w:val="Compact"/>
      </w:pPr>
      <w:r>
        <w:rPr>
          <w:bCs/>
          <w:b/>
        </w:rPr>
        <w:t xml:space="preserve">Beijing-Exclusive Launch Event:</w:t>
      </w:r>
      <w:r>
        <w:t xml:space="preserve"> </w:t>
      </w:r>
      <w:r>
        <w:t xml:space="preserve">Host a high-profile "Editor Summit for Beijing Content Leaders" at the Beijing National Convention Center, featuring case studies from leading Beijing media groups using Editor to streamline content for China's 1.5 billion social media users.</w:t>
      </w:r>
    </w:p>
    <w:bookmarkEnd w:id="24"/>
    <w:bookmarkStart w:id="25" w:name="budget-allocation-timeline-beijing-focus"/>
    <w:p>
      <w:pPr>
        <w:pStyle w:val="Heading2"/>
      </w:pPr>
      <w:r>
        <w:t xml:space="preserve">Budget Allocation &amp; Timeline (Beijing Focus)</w:t>
      </w:r>
    </w:p>
    <w:p>
      <w:pPr>
        <w:pStyle w:val="FirstParagraph"/>
      </w:pPr>
      <w:r>
        <w:t xml:space="preserve">85% of the initial marketing budget ($1.2M) is allocated specifically to Beijing initiatives:</w:t>
      </w:r>
    </w:p>
    <w:p>
      <w:pPr>
        <w:numPr>
          <w:ilvl w:val="0"/>
          <w:numId w:val="1004"/>
        </w:numPr>
        <w:pStyle w:val="Compact"/>
      </w:pPr>
      <w:r>
        <w:rPr>
          <w:bCs/>
          <w:b/>
        </w:rPr>
        <w:t xml:space="preserve">Localized Content Production (30%):</w:t>
      </w:r>
      <w:r>
        <w:t xml:space="preserve"> </w:t>
      </w:r>
      <w:r>
        <w:t xml:space="preserve">Creating WeChat articles, Bilibili video demos, and case studies featuring Beijing-based success stories (e.g., "How iQIYI Reduced Editorial Turnaround Time by 45% in Beijing").</w:t>
      </w:r>
    </w:p>
    <w:p>
      <w:pPr>
        <w:numPr>
          <w:ilvl w:val="0"/>
          <w:numId w:val="1004"/>
        </w:numPr>
        <w:pStyle w:val="Compact"/>
      </w:pPr>
      <w:r>
        <w:rPr>
          <w:bCs/>
          <w:b/>
        </w:rPr>
        <w:t xml:space="preserve">Beijing Community Building (25%):</w:t>
      </w:r>
      <w:r>
        <w:t xml:space="preserve"> </w:t>
      </w:r>
      <w:r>
        <w:t xml:space="preserve">Sponsoring tech meetups at Zhongguancun, co-hosting workshops with Tsinghua University’s Digital Media Lab.</w:t>
      </w:r>
    </w:p>
    <w:p>
      <w:pPr>
        <w:numPr>
          <w:ilvl w:val="0"/>
          <w:numId w:val="1004"/>
        </w:numPr>
        <w:pStyle w:val="Compact"/>
      </w:pPr>
      <w:r>
        <w:rPr>
          <w:bCs/>
          <w:b/>
        </w:rPr>
        <w:t xml:space="preserve">Regulatory &amp; Partnership Engagement (20%):</w:t>
      </w:r>
      <w:r>
        <w:t xml:space="preserve"> </w:t>
      </w:r>
      <w:r>
        <w:t xml:space="preserve">Legal compliance certification costs and relationship-building with Beijing government agencies.</w:t>
      </w:r>
    </w:p>
    <w:p>
      <w:pPr>
        <w:numPr>
          <w:ilvl w:val="0"/>
          <w:numId w:val="1004"/>
        </w:numPr>
        <w:pStyle w:val="Compact"/>
      </w:pPr>
      <w:r>
        <w:rPr>
          <w:bCs/>
          <w:b/>
        </w:rPr>
        <w:t xml:space="preserve">Digital Campaigns (15%):</w:t>
      </w:r>
      <w:r>
        <w:t xml:space="preserve"> </w:t>
      </w:r>
      <w:r>
        <w:t xml:space="preserve">Targeted WeChat/Weibo ads focusing on Beijing business districts, keyword bidding on "content management Beijing" and "editorial software China."</w:t>
      </w:r>
    </w:p>
    <w:bookmarkEnd w:id="25"/>
    <w:bookmarkStart w:id="26" w:name="X263eff7f4156bfdc0d9a79cb0906d4ecbd0ad23"/>
    <w:p>
      <w:pPr>
        <w:pStyle w:val="Heading2"/>
      </w:pPr>
      <w:r>
        <w:t xml:space="preserve">Key Performance Indicators (KPIs for China Beijing)</w:t>
      </w:r>
    </w:p>
    <w:p>
      <w:pPr>
        <w:pStyle w:val="FirstParagraph"/>
      </w:pPr>
      <w:r>
        <w:t xml:space="preserve">This Marketing Plan defines success through Beijing-specific KPIs:</w:t>
      </w:r>
    </w:p>
    <w:p>
      <w:pPr>
        <w:numPr>
          <w:ilvl w:val="0"/>
          <w:numId w:val="1005"/>
        </w:numPr>
        <w:pStyle w:val="Compact"/>
      </w:pPr>
      <w:r>
        <w:rPr>
          <w:bCs/>
          <w:b/>
        </w:rPr>
        <w:t xml:space="preserve">Market Penetration:</w:t>
      </w:r>
      <w:r>
        <w:t xml:space="preserve"> </w:t>
      </w:r>
      <w:r>
        <w:t xml:space="preserve">Achieve 500 active enterprise users in Beijing within 12 months (target: 30% share of SME segment).</w:t>
      </w:r>
    </w:p>
    <w:p>
      <w:pPr>
        <w:numPr>
          <w:ilvl w:val="0"/>
          <w:numId w:val="1005"/>
        </w:numPr>
        <w:pStyle w:val="Compact"/>
      </w:pPr>
      <w:r>
        <w:rPr>
          <w:bCs/>
          <w:b/>
        </w:rPr>
        <w:t xml:space="preserve">Brand Perception:</w:t>
      </w:r>
      <w:r>
        <w:t xml:space="preserve"> </w:t>
      </w:r>
      <w:r>
        <w:t xml:space="preserve">Attain "Top Recommended Editorial Tool" status among Beijing media executives (measured via annual survey with China Media Research Institute).</w:t>
      </w:r>
    </w:p>
    <w:p>
      <w:pPr>
        <w:numPr>
          <w:ilvl w:val="0"/>
          <w:numId w:val="1005"/>
        </w:numPr>
        <w:pStyle w:val="Compact"/>
      </w:pPr>
      <w:r>
        <w:rPr>
          <w:bCs/>
          <w:b/>
        </w:rPr>
        <w:t xml:space="preserve">Compliance &amp; Trust:</w:t>
      </w:r>
      <w:r>
        <w:t xml:space="preserve"> </w:t>
      </w:r>
      <w:r>
        <w:t xml:space="preserve">Achieve 100% compliance rating from Beijing regulatory partners and zero data sovereignty violations.</w:t>
      </w:r>
    </w:p>
    <w:p>
      <w:pPr>
        <w:numPr>
          <w:ilvl w:val="0"/>
          <w:numId w:val="1005"/>
        </w:numPr>
        <w:pStyle w:val="Compact"/>
      </w:pPr>
      <w:r>
        <w:rPr>
          <w:bCs/>
          <w:b/>
        </w:rPr>
        <w:t xml:space="preserve">User Retention:</w:t>
      </w:r>
      <w:r>
        <w:t xml:space="preserve"> </w:t>
      </w:r>
      <w:r>
        <w:t xml:space="preserve">Maintain &gt;85% monthly active user rate among Beijing enterprises (exceeding industry average of 70%).</w:t>
      </w:r>
    </w:p>
    <w:bookmarkEnd w:id="26"/>
    <w:bookmarkStart w:id="27" w:name="X824e373cf50059f44adcdc6ef92b51cccd85c9e"/>
    <w:p>
      <w:pPr>
        <w:pStyle w:val="Heading2"/>
      </w:pPr>
      <w:r>
        <w:t xml:space="preserve">Conclusion: The Editor Advantage in China Beijing</w:t>
      </w:r>
    </w:p>
    <w:p>
      <w:pPr>
        <w:pStyle w:val="FirstParagraph"/>
      </w:pPr>
      <w:r>
        <w:t xml:space="preserve">This Marketing Plan establishes Editor as the definitive solution for content creation within China Beijing. By embedding cultural intelligence, regulatory expertise, and platform integration directly into the product and go-to-market strategy, Editor transcends being merely a tool – it becomes an essential partner for success in one of the world's most sophisticated digital markets. The plan’s relentless focus on Beijing-specific needs – from compliance with local laws to leveraging WeChat as the primary communication channel – ensures that every marketing effort drives tangible, measurable value within this critical market. For enterprises operating at the heart of China's innovation hub, Editor is not just an investment; it's the strategic key to unlocking efficient, compliant, and impactful content creation in Beijing.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China Beijing Market Strategy</dc:title>
  <dc:creator/>
  <dc:language>en</dc:language>
  <cp:keywords/>
  <dcterms:created xsi:type="dcterms:W3CDTF">2026-07-20T08:30:47Z</dcterms:created>
  <dcterms:modified xsi:type="dcterms:W3CDTF">2026-07-20T08:30:47Z</dcterms:modified>
</cp:coreProperties>
</file>

<file path=docProps/custom.xml><?xml version="1.0" encoding="utf-8"?>
<Properties xmlns="http://schemas.openxmlformats.org/officeDocument/2006/custom-properties" xmlns:vt="http://schemas.openxmlformats.org/officeDocument/2006/docPropsVTypes"/>
</file>