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Moscow</w:t>
      </w:r>
      <w:r>
        <w:t xml:space="preserve"> </w:t>
      </w:r>
      <w:r>
        <w:t xml:space="preserve">Expansion</w:t>
      </w:r>
      <w:r>
        <w:t xml:space="preserve"> </w:t>
      </w:r>
      <w:r>
        <w:t xml:space="preserve">Strategy</w:t>
      </w:r>
    </w:p>
    <w:bookmarkStart w:id="32" w:name="X61fdc7813025d4b8e3850cd59b791500871feb5"/>
    <w:p>
      <w:pPr>
        <w:pStyle w:val="Heading1"/>
      </w:pPr>
      <w:r>
        <w:t xml:space="preserve">Comprehensive Marketing Plan: Launching Editor in Russia Moscow Market</w:t>
      </w:r>
    </w:p>
    <w:p>
      <w:pPr>
        <w:pStyle w:val="FirstParagraph"/>
      </w:pPr>
      <w:r>
        <w:t xml:space="preserve">This document presents a strategic marketing plan for the global digital content management platform "Editor," specifically tailored for entry into the competitive and rapidly evolving tech landscape of Moscow, Russia. As a leading solution designed to streamline collaborative editing, version control, and team productivity for enterprises, this plan outlines actionable steps to establish Editor as the preferred content collaboration tool across Russian businesses in Moscow by Q4 2025.</w:t>
      </w:r>
    </w:p>
    <w:bookmarkStart w:id="20" w:name="market-analysis-russia-moscow-context"/>
    <w:p>
      <w:pPr>
        <w:pStyle w:val="Heading2"/>
      </w:pPr>
      <w:r>
        <w:t xml:space="preserve">Market Analysis: Russia Moscow Context</w:t>
      </w:r>
    </w:p>
    <w:p>
      <w:pPr>
        <w:pStyle w:val="FirstParagraph"/>
      </w:pPr>
      <w:r>
        <w:t xml:space="preserve">The Moscow digital market presents a high-potential opportunity for advanced productivity software like Editor. With over 3,500 tech companies operating in the city and a growing demand for cloud-based collaboration tools (projected to reach $14.2B by 2026), there is clear unmet need for localized, secure, and efficient editing solutions. Current competitors like Yandex.Documents and local enterprise suites lack robust multilingual support, real-time co-authoring capabilities, and data sovereignty compliance critical for Russian enterprises under Federal Law No. 152-FZ. Moscow businesses prioritize tools that integrate seamlessly with existing IT infrastructure (e.g., Sberbank Cloud, Mail.ru Group) while ensuring GDPR-equivalent data security – a gap Editor uniquely addresses.</w:t>
      </w:r>
    </w:p>
    <w:bookmarkEnd w:id="20"/>
    <w:bookmarkStart w:id="21" w:name="target-audience-in-moscow"/>
    <w:p>
      <w:pPr>
        <w:pStyle w:val="Heading2"/>
      </w:pPr>
      <w:r>
        <w:t xml:space="preserve">Target Audience in Moscow</w:t>
      </w:r>
    </w:p>
    <w:p>
      <w:pPr>
        <w:pStyle w:val="FirstParagraph"/>
      </w:pPr>
      <w:r>
        <w:t xml:space="preserve">Our primary audience focuses on medium to large enterprises headquartered in Moscow with 100+ employees, including:</w:t>
      </w:r>
    </w:p>
    <w:p>
      <w:pPr>
        <w:numPr>
          <w:ilvl w:val="0"/>
          <w:numId w:val="1001"/>
        </w:numPr>
        <w:pStyle w:val="Compact"/>
      </w:pPr>
      <w:r>
        <w:rPr>
          <w:bCs/>
          <w:b/>
        </w:rPr>
        <w:t xml:space="preserve">Marketing &amp; Advertising Agencies:</w:t>
      </w:r>
      <w:r>
        <w:t xml:space="preserve"> </w:t>
      </w:r>
      <w:r>
        <w:t xml:space="preserve">Requiring real-time collaboration across geographically dispersed creative teams.</w:t>
      </w:r>
    </w:p>
    <w:p>
      <w:pPr>
        <w:numPr>
          <w:ilvl w:val="0"/>
          <w:numId w:val="1001"/>
        </w:numPr>
        <w:pStyle w:val="Compact"/>
      </w:pPr>
      <w:r>
        <w:rPr>
          <w:bCs/>
          <w:b/>
        </w:rPr>
        <w:t xml:space="preserve">Corporate Communications Departments:</w:t>
      </w:r>
      <w:r>
        <w:t xml:space="preserve"> </w:t>
      </w:r>
      <w:r>
        <w:t xml:space="preserve">Needing secure document management for sensitive internal and external communications.</w:t>
      </w:r>
    </w:p>
    <w:p>
      <w:pPr>
        <w:numPr>
          <w:ilvl w:val="0"/>
          <w:numId w:val="1001"/>
        </w:numPr>
        <w:pStyle w:val="Compact"/>
      </w:pPr>
      <w:r>
        <w:rPr>
          <w:bCs/>
          <w:b/>
        </w:rPr>
        <w:t xml:space="preserve">Russian Government Entities &amp; State-Owned Enterprises (SOEs):</w:t>
      </w:r>
      <w:r>
        <w:t xml:space="preserve"> </w:t>
      </w:r>
      <w:r>
        <w:t xml:space="preserve">Mandated to adopt domestic solutions meeting data localization requirements.</w:t>
      </w:r>
    </w:p>
    <w:bookmarkEnd w:id="21"/>
    <w:bookmarkStart w:id="22" w:name="marketing-objectives-russia-moscow-focus"/>
    <w:p>
      <w:pPr>
        <w:pStyle w:val="Heading2"/>
      </w:pPr>
      <w:r>
        <w:t xml:space="preserve">Marketing Objectives (Russia Moscow Focus)</w:t>
      </w:r>
    </w:p>
    <w:p>
      <w:pPr>
        <w:pStyle w:val="FirstParagraph"/>
      </w:pPr>
      <w:r>
        <w:t xml:space="preserve">By December 2025, achieve:</w:t>
      </w:r>
    </w:p>
    <w:p>
      <w:pPr>
        <w:numPr>
          <w:ilvl w:val="0"/>
          <w:numId w:val="1002"/>
        </w:numPr>
        <w:pStyle w:val="Compact"/>
      </w:pPr>
      <w:r>
        <w:rPr>
          <w:bCs/>
          <w:b/>
        </w:rPr>
        <w:t xml:space="preserve">Market Penetration:</w:t>
      </w:r>
      <w:r>
        <w:t xml:space="preserve"> </w:t>
      </w:r>
      <w:r>
        <w:t xml:space="preserve">Secure 150 enterprise clients in Moscow (including 3 major SOEs).</w:t>
      </w:r>
    </w:p>
    <w:p>
      <w:pPr>
        <w:numPr>
          <w:ilvl w:val="0"/>
          <w:numId w:val="1002"/>
        </w:numPr>
        <w:pStyle w:val="Compact"/>
      </w:pPr>
      <w:r>
        <w:rPr>
          <w:bCs/>
          <w:b/>
        </w:rPr>
        <w:t xml:space="preserve">Brand Recognition:</w:t>
      </w:r>
      <w:r>
        <w:t xml:space="preserve"> </w:t>
      </w:r>
      <w:r>
        <w:t xml:space="preserve">Attain 65% brand recall among target decision-makers through localized campaigns.</w:t>
      </w:r>
    </w:p>
    <w:p>
      <w:pPr>
        <w:numPr>
          <w:ilvl w:val="0"/>
          <w:numId w:val="1002"/>
        </w:numPr>
        <w:pStyle w:val="Compact"/>
      </w:pPr>
      <w:r>
        <w:rPr>
          <w:bCs/>
          <w:b/>
        </w:rPr>
        <w:t xml:space="preserve">Data Compliance:</w:t>
      </w:r>
      <w:r>
        <w:t xml:space="preserve"> </w:t>
      </w:r>
      <w:r>
        <w:t xml:space="preserve">Achieve full alignment with Russian Federal Data Laws for all Editor deployments in Moscow.</w:t>
      </w:r>
    </w:p>
    <w:bookmarkEnd w:id="22"/>
    <w:bookmarkStart w:id="23" w:name="strategic-positioning-of-editor"/>
    <w:p>
      <w:pPr>
        <w:pStyle w:val="Heading2"/>
      </w:pPr>
      <w:r>
        <w:t xml:space="preserve">Strategic Positioning of Editor</w:t>
      </w:r>
    </w:p>
    <w:p>
      <w:pPr>
        <w:pStyle w:val="FirstParagraph"/>
      </w:pPr>
      <w:r>
        <w:t xml:space="preserve">Editor will be positioned as the only enterprise-grade, Russia-compliant editing platform offering:</w:t>
      </w:r>
    </w:p>
    <w:p>
      <w:pPr>
        <w:numPr>
          <w:ilvl w:val="0"/>
          <w:numId w:val="1003"/>
        </w:numPr>
        <w:pStyle w:val="Compact"/>
      </w:pPr>
      <w:r>
        <w:rPr>
          <w:bCs/>
          <w:b/>
        </w:rPr>
        <w:t xml:space="preserve">Russian-Language Native Interface:</w:t>
      </w:r>
      <w:r>
        <w:t xml:space="preserve"> </w:t>
      </w:r>
      <w:r>
        <w:t xml:space="preserve">Full UI/UX localization with Moscow-specific terminology (e.g., "Документ" instead of generic English terms).</w:t>
      </w:r>
    </w:p>
    <w:p>
      <w:pPr>
        <w:numPr>
          <w:ilvl w:val="0"/>
          <w:numId w:val="1003"/>
        </w:numPr>
        <w:pStyle w:val="Compact"/>
      </w:pPr>
      <w:r>
        <w:rPr>
          <w:bCs/>
          <w:b/>
        </w:rPr>
        <w:t xml:space="preserve">On-Premise &amp; Cloud Hybrid Options:</w:t>
      </w:r>
      <w:r>
        <w:t xml:space="preserve"> </w:t>
      </w:r>
      <w:r>
        <w:t xml:space="preserve">Meeting strict data localization mandates for government clients.</w:t>
      </w:r>
    </w:p>
    <w:p>
      <w:pPr>
        <w:numPr>
          <w:ilvl w:val="0"/>
          <w:numId w:val="1003"/>
        </w:numPr>
        <w:pStyle w:val="Compact"/>
      </w:pPr>
      <w:r>
        <w:rPr>
          <w:bCs/>
          <w:b/>
        </w:rPr>
        <w:t xml:space="preserve">Sberbank &amp; Yandex Integrations:</w:t>
      </w:r>
      <w:r>
        <w:t xml:space="preserve"> </w:t>
      </w:r>
      <w:r>
        <w:t xml:space="preserve">Seamless connectivity with Moscow’s dominant fintech and cloud infrastructure.</w:t>
      </w:r>
    </w:p>
    <w:bookmarkEnd w:id="23"/>
    <w:bookmarkStart w:id="28" w:name="X466b38a3930c3930e47373ad3e8b2c38e8b52ac"/>
    <w:p>
      <w:pPr>
        <w:pStyle w:val="Heading2"/>
      </w:pPr>
      <w:r>
        <w:t xml:space="preserve">Tactical Marketing Plan: Russia Moscow Execution</w:t>
      </w:r>
    </w:p>
    <w:bookmarkStart w:id="24" w:name="localization-compliance-q1-2024"/>
    <w:p>
      <w:pPr>
        <w:pStyle w:val="Heading3"/>
      </w:pPr>
      <w:r>
        <w:t xml:space="preserve">1. Localization &amp; Compliance (Q1 2024)</w:t>
      </w:r>
    </w:p>
    <w:p>
      <w:pPr>
        <w:pStyle w:val="FirstParagraph"/>
      </w:pPr>
      <w:r>
        <w:t xml:space="preserve">Partner with Russian legal firms to certify Editor against Federal Law 152-FZ and Technical Regulation TR CU 004/2011. Deploy a Moscow-based compliance team to handle data residency requirements, ensuring all servers for Russian clients are physically located within the Moscow region. Develop Russian-language training modules co-created with Moscow universities (e.g., HSE University) to demonstrate local expertise.</w:t>
      </w:r>
    </w:p>
    <w:bookmarkEnd w:id="24"/>
    <w:bookmarkStart w:id="25" w:name="strategic-partnerships-q2-q3-2024"/>
    <w:p>
      <w:pPr>
        <w:pStyle w:val="Heading3"/>
      </w:pPr>
      <w:r>
        <w:t xml:space="preserve">2. Strategic Partnerships (Q2-Q3 2024)</w:t>
      </w:r>
    </w:p>
    <w:p>
      <w:pPr>
        <w:pStyle w:val="FirstParagraph"/>
      </w:pPr>
      <w:r>
        <w:t xml:space="preserve">Forge alliances with key Moscow ecosystem players:</w:t>
      </w:r>
    </w:p>
    <w:p>
      <w:pPr>
        <w:numPr>
          <w:ilvl w:val="0"/>
          <w:numId w:val="1004"/>
        </w:numPr>
        <w:pStyle w:val="Compact"/>
      </w:pPr>
      <w:r>
        <w:rPr>
          <w:bCs/>
          <w:b/>
        </w:rPr>
        <w:t xml:space="preserve">SberTech:</w:t>
      </w:r>
      <w:r>
        <w:t xml:space="preserve"> </w:t>
      </w:r>
      <w:r>
        <w:t xml:space="preserve">Integrate Editor as a default solution for Sberbank’s corporate clients via co-branded workshops.</w:t>
      </w:r>
    </w:p>
    <w:p>
      <w:pPr>
        <w:numPr>
          <w:ilvl w:val="0"/>
          <w:numId w:val="1004"/>
        </w:numPr>
        <w:pStyle w:val="Compact"/>
      </w:pPr>
      <w:r>
        <w:rPr>
          <w:bCs/>
          <w:b/>
        </w:rPr>
        <w:t xml:space="preserve">Moscow IT Cluster:</w:t>
      </w:r>
      <w:r>
        <w:t xml:space="preserve"> </w:t>
      </w:r>
      <w:r>
        <w:t xml:space="preserve">Become the exclusive "Official Collaboration Partner" for 2024 Moscow Tech Week events.</w:t>
      </w:r>
    </w:p>
    <w:p>
      <w:pPr>
        <w:numPr>
          <w:ilvl w:val="0"/>
          <w:numId w:val="1004"/>
        </w:numPr>
        <w:pStyle w:val="Compact"/>
      </w:pPr>
      <w:r>
        <w:rPr>
          <w:bCs/>
          <w:b/>
        </w:rPr>
        <w:t xml:space="preserve">Yandex Cloud:</w:t>
      </w:r>
      <w:r>
        <w:t xml:space="preserve"> </w:t>
      </w:r>
      <w:r>
        <w:t xml:space="preserve">Optimize Editor’s cloud infrastructure to leverage Yandex’s Moscow-based data centers for faster performance.</w:t>
      </w:r>
    </w:p>
    <w:bookmarkEnd w:id="25"/>
    <w:bookmarkStart w:id="26" w:name="targeted-digital-campaigns-ongoing"/>
    <w:p>
      <w:pPr>
        <w:pStyle w:val="Heading3"/>
      </w:pPr>
      <w:r>
        <w:t xml:space="preserve">3. Targeted Digital Campaigns (Ongoing)</w:t>
      </w:r>
    </w:p>
    <w:p>
      <w:pPr>
        <w:pStyle w:val="FirstParagraph"/>
      </w:pPr>
      <w:r>
        <w:t xml:space="preserve">Leverage Russian digital channels with Moscow-centric messaging:</w:t>
      </w:r>
    </w:p>
    <w:p>
      <w:pPr>
        <w:numPr>
          <w:ilvl w:val="0"/>
          <w:numId w:val="1005"/>
        </w:numPr>
        <w:pStyle w:val="Compact"/>
      </w:pPr>
      <w:r>
        <w:rPr>
          <w:bCs/>
          <w:b/>
        </w:rPr>
        <w:t xml:space="preserve">LinkedIn Ads:</w:t>
      </w:r>
      <w:r>
        <w:t xml:space="preserve"> </w:t>
      </w:r>
      <w:r>
        <w:t xml:space="preserve">Geo-targeted campaigns to HR Directors and IT Managers in Moscow, highlighting "Data Sovereignty for Russian Enterprises."</w:t>
      </w:r>
    </w:p>
    <w:p>
      <w:pPr>
        <w:numPr>
          <w:ilvl w:val="0"/>
          <w:numId w:val="1005"/>
        </w:numPr>
        <w:pStyle w:val="Compact"/>
      </w:pPr>
      <w:r>
        <w:rPr>
          <w:bCs/>
          <w:b/>
        </w:rPr>
        <w:t xml:space="preserve">VKontakte &amp; Telegram:</w:t>
      </w:r>
      <w:r>
        <w:t xml:space="preserve"> </w:t>
      </w:r>
      <w:r>
        <w:t xml:space="preserve">Run influencer partnerships with tech analysts like @MoscowTechInsights for case studies on Editor’s impact at local firms (e.g., "How AdTech Agency X Cut Document Review Time by 70% in Moscow").</w:t>
      </w:r>
    </w:p>
    <w:p>
      <w:pPr>
        <w:numPr>
          <w:ilvl w:val="0"/>
          <w:numId w:val="1005"/>
        </w:numPr>
        <w:pStyle w:val="Compact"/>
      </w:pPr>
      <w:r>
        <w:rPr>
          <w:bCs/>
          <w:b/>
        </w:rPr>
        <w:t xml:space="preserve">SEO:</w:t>
      </w:r>
      <w:r>
        <w:t xml:space="preserve"> </w:t>
      </w:r>
      <w:r>
        <w:t xml:space="preserve">Optimize for Russian keywords: "лучший редактор для бизнеса Москва," "безопасный документооборот Россия."</w:t>
      </w:r>
    </w:p>
    <w:bookmarkEnd w:id="26"/>
    <w:bookmarkStart w:id="27" w:name="sales-event-strategy-q3-q4-2024"/>
    <w:p>
      <w:pPr>
        <w:pStyle w:val="Heading3"/>
      </w:pPr>
      <w:r>
        <w:t xml:space="preserve">4. Sales &amp; Event Strategy (Q3-Q4 2024)</w:t>
      </w:r>
    </w:p>
    <w:p>
      <w:pPr>
        <w:pStyle w:val="FirstParagraph"/>
      </w:pPr>
      <w:r>
        <w:t xml:space="preserve">Deploy a Moscow-based sales team offering free on-site demos at client offices in Central Business Districts (CBD). Host exclusive "Editor for Moscow Enterprises" summits at venues like Hotel Ritz-Carlton and Moskva Palace, featuring:</w:t>
      </w:r>
    </w:p>
    <w:p>
      <w:pPr>
        <w:numPr>
          <w:ilvl w:val="0"/>
          <w:numId w:val="1006"/>
        </w:numPr>
        <w:pStyle w:val="Compact"/>
      </w:pPr>
      <w:r>
        <w:t xml:space="preserve">Case studies from pilot clients (e.g., a major Moscow-based insurance company).</w:t>
      </w:r>
    </w:p>
    <w:p>
      <w:pPr>
        <w:numPr>
          <w:ilvl w:val="0"/>
          <w:numId w:val="1006"/>
        </w:numPr>
        <w:pStyle w:val="Compact"/>
      </w:pPr>
      <w:r>
        <w:t xml:space="preserve">Live security architecture walkthroughs addressing local regulatory concerns.</w:t>
      </w:r>
    </w:p>
    <w:p>
      <w:pPr>
        <w:numPr>
          <w:ilvl w:val="0"/>
          <w:numId w:val="1006"/>
        </w:numPr>
        <w:pStyle w:val="Compact"/>
      </w:pPr>
      <w:r>
        <w:t xml:space="preserve">Sponsorship of the ITForum Moscow event to maximize visibility at the city’s premier tech conference.</w:t>
      </w:r>
    </w:p>
    <w:bookmarkEnd w:id="27"/>
    <w:bookmarkEnd w:id="28"/>
    <w:bookmarkStart w:id="29" w:name="budget-allocation-russia-moscow-focus"/>
    <w:p>
      <w:pPr>
        <w:pStyle w:val="Heading2"/>
      </w:pPr>
      <w:r>
        <w:t xml:space="preserve">Budget Allocation (Russia Moscow Focus)</w:t>
      </w:r>
    </w:p>
    <w:p>
      <w:pPr>
        <w:pStyle w:val="FirstParagraph"/>
      </w:pPr>
      <w:r>
        <w:t xml:space="preserve">Initiative</w:t>
      </w:r>
    </w:p>
    <w:p>
      <w:pPr>
        <w:pStyle w:val="BodyText"/>
      </w:pPr>
      <w:r>
        <w:t xml:space="preserve">Allocation (%)</w:t>
      </w:r>
    </w:p>
    <w:p>
      <w:pPr>
        <w:pStyle w:val="BodyText"/>
      </w:pPr>
      <w:r>
        <w:t xml:space="preserve">Rationale</w:t>
      </w:r>
    </w:p>
    <w:p>
      <w:pPr>
        <w:pStyle w:val="BodyText"/>
      </w:pPr>
      <w:r>
        <w:t xml:space="preserve">Compliance &amp; Localization</w:t>
      </w:r>
    </w:p>
    <w:p>
      <w:pPr>
        <w:pStyle w:val="BodyText"/>
      </w:pPr>
      <w:r>
        <w:t xml:space="preserve">30%</w:t>
      </w:r>
    </w:p>
    <w:p>
      <w:pPr>
        <w:pStyle w:val="BodyText"/>
      </w:pPr>
      <w:r>
        <w:t xml:space="preserve">Mandated for market entry; ensures legal viability in Russia.</w:t>
      </w:r>
    </w:p>
    <w:p>
      <w:pPr>
        <w:pStyle w:val="BodyText"/>
      </w:pPr>
      <w:r>
        <w:t xml:space="preserve">Strategic Partnerships</w:t>
      </w:r>
    </w:p>
    <w:p>
      <w:pPr>
        <w:pStyle w:val="BodyText"/>
      </w:pPr>
      <w:r>
        <w:t xml:space="preserve">25%</w:t>
      </w:r>
    </w:p>
    <w:p>
      <w:pPr>
        <w:pStyle w:val="BodyText"/>
      </w:pPr>
      <w:r>
        <w:t xml:space="preserve">Leverages Moscow’s ecosystem networks for rapid trust-building.</w:t>
      </w:r>
    </w:p>
    <w:p>
      <w:pPr>
        <w:pStyle w:val="BodyText"/>
      </w:pPr>
      <w:r>
        <w:t xml:space="preserve">Digital Campaigns &amp; Events</w:t>
      </w:r>
    </w:p>
    <w:p>
      <w:pPr>
        <w:pStyle w:val="BodyText"/>
      </w:pPr>
      <w:r>
        <w:t xml:space="preserve">30%</w:t>
      </w:r>
    </w:p>
    <w:p>
      <w:pPr>
        <w:pStyle w:val="BodyText"/>
      </w:pPr>
      <w:r>
        <w:t xml:space="preserve">Captures high-intent enterprise leads in Moscow’s tech hubs.</w:t>
      </w:r>
    </w:p>
    <w:p>
      <w:pPr>
        <w:pStyle w:val="BodyText"/>
      </w:pPr>
      <w:r>
        <w:t xml:space="preserve">Localized Sales Team</w:t>
      </w:r>
    </w:p>
    <w:p>
      <w:pPr>
        <w:pStyle w:val="BodyText"/>
      </w:pPr>
      <w:r>
        <w:t xml:space="preserve">15%</w:t>
      </w:r>
    </w:p>
    <w:p>
      <w:pPr>
        <w:pStyle w:val="BodyText"/>
      </w:pPr>
      <w:r>
        <w:t xml:space="preserve">Ensures cultural fluency and relationship-based selling in Moscow.</w:t>
      </w:r>
    </w:p>
    <w:bookmarkEnd w:id="29"/>
    <w:bookmarkStart w:id="30" w:name="kpis-for-success-russia-moscow-metrics"/>
    <w:p>
      <w:pPr>
        <w:pStyle w:val="Heading2"/>
      </w:pPr>
      <w:r>
        <w:t xml:space="preserve">KPIs for Success: Russia Moscow Metrics</w:t>
      </w:r>
    </w:p>
    <w:p>
      <w:pPr>
        <w:pStyle w:val="FirstParagraph"/>
      </w:pPr>
      <w:r>
        <w:t xml:space="preserve">Evaluate performance using:</w:t>
      </w:r>
    </w:p>
    <w:p>
      <w:pPr>
        <w:numPr>
          <w:ilvl w:val="0"/>
          <w:numId w:val="1007"/>
        </w:numPr>
        <w:pStyle w:val="Compact"/>
      </w:pPr>
      <w:r>
        <w:rPr>
          <w:bCs/>
          <w:b/>
        </w:rPr>
        <w:t xml:space="preserve">Lead Quality:</w:t>
      </w:r>
      <w:r>
        <w:t xml:space="preserve"> </w:t>
      </w:r>
      <w:r>
        <w:t xml:space="preserve">70%+ of leads from targeted Moscow campaigns convert to demos.</w:t>
      </w:r>
    </w:p>
    <w:p>
      <w:pPr>
        <w:numPr>
          <w:ilvl w:val="0"/>
          <w:numId w:val="1007"/>
        </w:numPr>
        <w:pStyle w:val="Compact"/>
      </w:pPr>
      <w:r>
        <w:rPr>
          <w:bCs/>
          <w:b/>
        </w:rPr>
        <w:t xml:space="preserve">Compliance Rate:</w:t>
      </w:r>
      <w:r>
        <w:t xml:space="preserve"> </w:t>
      </w:r>
      <w:r>
        <w:t xml:space="preserve">100% of deployed Editor solutions meet Russian data laws.</w:t>
      </w:r>
    </w:p>
    <w:p>
      <w:pPr>
        <w:numPr>
          <w:ilvl w:val="0"/>
          <w:numId w:val="1007"/>
        </w:numPr>
        <w:pStyle w:val="Compact"/>
      </w:pPr>
      <w:r>
        <w:rPr>
          <w:bCs/>
          <w:b/>
        </w:rPr>
        <w:t xml:space="preserve">Cultural Resonance:</w:t>
      </w:r>
      <w:r>
        <w:t xml:space="preserve"> </w:t>
      </w:r>
      <w:r>
        <w:t xml:space="preserve">&gt;85% positive feedback on localization during client interviews in Moscow.</w:t>
      </w:r>
    </w:p>
    <w:bookmarkEnd w:id="30"/>
    <w:bookmarkStart w:id="31" w:name="Xbbf73fe79dcad0060e93a233eccda3fd6851a25"/>
    <w:p>
      <w:pPr>
        <w:pStyle w:val="Heading2"/>
      </w:pPr>
      <w:r>
        <w:t xml:space="preserve">Conclusion: Why Editor Wins in Russia Moscow</w:t>
      </w:r>
    </w:p>
    <w:p>
      <w:pPr>
        <w:pStyle w:val="FirstParagraph"/>
      </w:pPr>
      <w:r>
        <w:t xml:space="preserve">The "Marketing Plan" for Editor is not merely an entry strategy – it is a commitment to redefining enterprise productivity within Russia’s most dynamic market. By embedding compliance, localization, and partnership at the core of the offering, Editor positions itself as indispensable for Moscow’s businesses navigating digital sovereignty. This plan ensures that every tactic directly addresses Moscow-specific pain points – from data laws to cultural preferences – making "Editor" the clear choice over generic global tools. With aggressive yet realistic execution across these pillars, Editor will capture a leading market share in Russia’s $20B+ business software sector by 2026, establishing Moscow as the epicenter of its European expansion.</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Moscow Expansion Strategy</dc:title>
  <dc:creator/>
  <dc:language>en</dc:language>
  <cp:keywords/>
  <dcterms:created xsi:type="dcterms:W3CDTF">2026-07-23T03:20:57Z</dcterms:created>
  <dcterms:modified xsi:type="dcterms:W3CDTF">2026-07-23T03:20:57Z</dcterms:modified>
</cp:coreProperties>
</file>

<file path=docProps/custom.xml><?xml version="1.0" encoding="utf-8"?>
<Properties xmlns="http://schemas.openxmlformats.org/officeDocument/2006/custom-properties" xmlns:vt="http://schemas.openxmlformats.org/officeDocument/2006/docPropsVTypes"/>
</file>