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Education</w:t>
      </w:r>
      <w:r>
        <w:t xml:space="preserve"> </w:t>
      </w:r>
      <w:r>
        <w:t xml:space="preserve">Administrator</w:t>
      </w:r>
      <w:r>
        <w:t xml:space="preserve"> </w:t>
      </w:r>
      <w:r>
        <w:t xml:space="preserve">Solutions</w:t>
      </w:r>
      <w:r>
        <w:t xml:space="preserve"> </w:t>
      </w:r>
      <w:r>
        <w:t xml:space="preserve">-</w:t>
      </w:r>
      <w:r>
        <w:t xml:space="preserve"> </w:t>
      </w:r>
      <w:r>
        <w:t xml:space="preserve">Jakarta,</w:t>
      </w:r>
      <w:r>
        <w:t xml:space="preserve"> </w:t>
      </w:r>
      <w:r>
        <w:t xml:space="preserve">Indonesia</w:t>
      </w:r>
    </w:p>
    <w:bookmarkStart w:id="33" w:name="X00b143b0fc08ebf0be205ad3d53c00f02573ed9"/>
    <w:p>
      <w:pPr>
        <w:pStyle w:val="Heading1"/>
      </w:pPr>
      <w:r>
        <w:t xml:space="preserve">Comprehensive Marketing Plan for Education Administrator Solutions in Indonesia Jakarta</w:t>
      </w:r>
    </w:p>
    <w:bookmarkStart w:id="20" w:name="executive-summary"/>
    <w:p>
      <w:pPr>
        <w:pStyle w:val="Heading2"/>
      </w:pPr>
      <w:r>
        <w:t xml:space="preserve">Executive Summary</w:t>
      </w:r>
    </w:p>
    <w:p>
      <w:pPr>
        <w:pStyle w:val="FirstParagraph"/>
      </w:pPr>
      <w:r>
        <w:t xml:space="preserve">This Marketing Plan outlines a strategic approach to position our premium Education Administrator solution as the indispensable management tool for educational institutions across Jakarta, Indonesia. With Jakarta's education sector facing unprecedented growth—serving over 4 million students across 15,000+ schools and universities—the demand for efficient administrative systems has never been higher. Our solution addresses critical pain points in enrollment management, compliance reporting, and resource allocation unique to the Indonesian educational landscape. This plan targets a 15% market penetration in Jakarta's private K-12 institutions within 24 months while establishing brand leadership in Indonesia's education technology sector.</w:t>
      </w:r>
    </w:p>
    <w:bookmarkEnd w:id="20"/>
    <w:bookmarkStart w:id="21" w:name="X7cc832f2c44b5f3f284285ef2a998220c320c8a"/>
    <w:p>
      <w:pPr>
        <w:pStyle w:val="Heading2"/>
      </w:pPr>
      <w:r>
        <w:t xml:space="preserve">Situation Analysis: Jakarta Education Landscape</w:t>
      </w:r>
    </w:p>
    <w:p>
      <w:pPr>
        <w:pStyle w:val="FirstParagraph"/>
      </w:pPr>
      <w:r>
        <w:t xml:space="preserve">Indonesia Jakarta presents a dynamic yet fragmented education ecosystem. Government data reveals that 68% of Jakarta's schools operate with manual administrative systems, causing 30% longer processing times for student records and compliance filings. The Ministry of Education's recent Digital Transformation Initiative has accelerated demand for integrated Education Administrator platforms, creating a $45M market opportunity in Jakarta alone. Key challenges include:</w:t>
      </w:r>
    </w:p>
    <w:p>
      <w:pPr>
        <w:numPr>
          <w:ilvl w:val="0"/>
          <w:numId w:val="1001"/>
        </w:numPr>
        <w:pStyle w:val="Compact"/>
      </w:pPr>
      <w:r>
        <w:t xml:space="preserve">Non-compliance risks with Permendikbud No. 30/2021 on school data standards</w:t>
      </w:r>
    </w:p>
    <w:p>
      <w:pPr>
        <w:numPr>
          <w:ilvl w:val="0"/>
          <w:numId w:val="1001"/>
        </w:numPr>
        <w:pStyle w:val="Compact"/>
      </w:pPr>
      <w:r>
        <w:t xml:space="preserve">High staff turnover in administrative roles due to inefficient workflows</w:t>
      </w:r>
    </w:p>
    <w:p>
      <w:pPr>
        <w:numPr>
          <w:ilvl w:val="0"/>
          <w:numId w:val="1001"/>
        </w:numPr>
        <w:pStyle w:val="Compact"/>
      </w:pPr>
      <w:r>
        <w:t xml:space="preserve">Limited budget for technology adoption among medium-sized institutions</w:t>
      </w:r>
    </w:p>
    <w:p>
      <w:pPr>
        <w:pStyle w:val="FirstParagraph"/>
      </w:pPr>
      <w:r>
        <w:t xml:space="preserve">Competitor analysis shows existing solutions lack localization—most are Western SaaS products ill-suited for Bahasa Indonesia workflows and Jakarta's specific regulatory environment. Our differentiated Education Administrator solution is built with Jakarta's educational context at its core.</w:t>
      </w:r>
    </w:p>
    <w:bookmarkEnd w:id="21"/>
    <w:bookmarkStart w:id="22" w:name="target-audience-segmentation"/>
    <w:p>
      <w:pPr>
        <w:pStyle w:val="Heading2"/>
      </w:pPr>
      <w:r>
        <w:t xml:space="preserve">Target Audience Segmentation</w:t>
      </w:r>
    </w:p>
    <w:p>
      <w:pPr>
        <w:pStyle w:val="FirstParagraph"/>
      </w:pPr>
      <w:r>
        <w:t xml:space="preserve">We prioritize three high-value segments in Indonesia Jakarta:</w:t>
      </w:r>
    </w:p>
    <w:p>
      <w:pPr>
        <w:numPr>
          <w:ilvl w:val="0"/>
          <w:numId w:val="1002"/>
        </w:numPr>
        <w:pStyle w:val="Compact"/>
      </w:pPr>
      <w:r>
        <w:rPr>
          <w:bCs/>
          <w:b/>
        </w:rPr>
        <w:t xml:space="preserve">Private K-12 Schools (60% focus):</w:t>
      </w:r>
      <w:r>
        <w:t xml:space="preserve"> </w:t>
      </w:r>
      <w:r>
        <w:t xml:space="preserve">4,800 institutions in Greater Jakarta handling complex admissions and parent communication. Decision-makers are School Principals aged 35-55 with budget authority for operational tech.</w:t>
      </w:r>
    </w:p>
    <w:p>
      <w:pPr>
        <w:numPr>
          <w:ilvl w:val="0"/>
          <w:numId w:val="1002"/>
        </w:numPr>
        <w:pStyle w:val="Compact"/>
      </w:pPr>
      <w:r>
        <w:rPr>
          <w:bCs/>
          <w:b/>
        </w:rPr>
        <w:t xml:space="preserve">University Administrative Units (25% focus):</w:t>
      </w:r>
      <w:r>
        <w:t xml:space="preserve"> </w:t>
      </w:r>
      <w:r>
        <w:t xml:space="preserve">University registrars managing enrollment across 120+ tertiary institutions. Prioritize solutions reducing administrative burden by 40%.</w:t>
      </w:r>
    </w:p>
    <w:p>
      <w:pPr>
        <w:numPr>
          <w:ilvl w:val="0"/>
          <w:numId w:val="1002"/>
        </w:numPr>
        <w:pStyle w:val="Compact"/>
      </w:pPr>
      <w:r>
        <w:rPr>
          <w:bCs/>
          <w:b/>
        </w:rPr>
        <w:t xml:space="preserve">Educational District Authorities (15% focus):</w:t>
      </w:r>
      <w:r>
        <w:t xml:space="preserve"> </w:t>
      </w:r>
      <w:r>
        <w:t xml:space="preserve">Jakarta's District Education Offices overseeing 3,200+ schools. Seek platforms for real-time compliance monitoring per Indonesian regulations.</w:t>
      </w:r>
    </w:p>
    <w:bookmarkEnd w:id="22"/>
    <w:bookmarkStart w:id="23" w:name="marketing-objectives-18-month-horizon"/>
    <w:p>
      <w:pPr>
        <w:pStyle w:val="Heading2"/>
      </w:pPr>
      <w:r>
        <w:t xml:space="preserve">Marketing Objectives (18-Month Horizon)</w:t>
      </w:r>
    </w:p>
    <w:p>
      <w:pPr>
        <w:numPr>
          <w:ilvl w:val="0"/>
          <w:numId w:val="1003"/>
        </w:numPr>
        <w:pStyle w:val="Compact"/>
      </w:pPr>
      <w:r>
        <w:t xml:space="preserve">Achieve 15% market share among Jakarta private schools using our Education Administrator solution</w:t>
      </w:r>
    </w:p>
    <w:p>
      <w:pPr>
        <w:numPr>
          <w:ilvl w:val="0"/>
          <w:numId w:val="1003"/>
        </w:numPr>
        <w:pStyle w:val="Compact"/>
      </w:pPr>
      <w:r>
        <w:t xml:space="preserve">Generate 300 qualified sales leads through localized digital campaigns</w:t>
      </w:r>
    </w:p>
    <w:p>
      <w:pPr>
        <w:numPr>
          <w:ilvl w:val="0"/>
          <w:numId w:val="1003"/>
        </w:numPr>
        <w:pStyle w:val="Compact"/>
      </w:pPr>
      <w:r>
        <w:t xml:space="preserve">Secure 75 institutional contracts with minimum 2-year commitments</w:t>
      </w:r>
    </w:p>
    <w:p>
      <w:pPr>
        <w:numPr>
          <w:ilvl w:val="0"/>
          <w:numId w:val="1003"/>
        </w:numPr>
        <w:pStyle w:val="Compact"/>
      </w:pPr>
      <w:r>
        <w:t xml:space="preserve">Attain 85% customer satisfaction rating on platform usability in Bahasa Indonesia</w:t>
      </w:r>
    </w:p>
    <w:p>
      <w:pPr>
        <w:numPr>
          <w:ilvl w:val="0"/>
          <w:numId w:val="1003"/>
        </w:numPr>
        <w:pStyle w:val="Compact"/>
      </w:pPr>
      <w:r>
        <w:t xml:space="preserve">Establish Thought Leadership via Jakarta Education Summit partnerships</w:t>
      </w:r>
    </w:p>
    <w:bookmarkEnd w:id="23"/>
    <w:bookmarkStart w:id="28" w:name="strategic-marketing-mix-4ps"/>
    <w:p>
      <w:pPr>
        <w:pStyle w:val="Heading2"/>
      </w:pPr>
      <w:r>
        <w:t xml:space="preserve">Strategic Marketing Mix (4Ps)</w:t>
      </w:r>
    </w:p>
    <w:bookmarkStart w:id="24" w:name="X50a0d710ae7d6d06be5b913c367502e41bc9c66"/>
    <w:p>
      <w:pPr>
        <w:pStyle w:val="Heading3"/>
      </w:pPr>
      <w:r>
        <w:t xml:space="preserve">Product: Culturally-Adapted Education Administrator Platform</w:t>
      </w:r>
    </w:p>
    <w:p>
      <w:pPr>
        <w:pStyle w:val="FirstParagraph"/>
      </w:pPr>
      <w:r>
        <w:t xml:space="preserve">Built specifically for Indonesia Jakarta with features including:</w:t>
      </w:r>
    </w:p>
    <w:p>
      <w:pPr>
        <w:numPr>
          <w:ilvl w:val="0"/>
          <w:numId w:val="1004"/>
        </w:numPr>
        <w:pStyle w:val="Compact"/>
      </w:pPr>
      <w:r>
        <w:t xml:space="preserve">Permendikbud-compliant reporting modules in Bahasa Indonesia and English</w:t>
      </w:r>
    </w:p>
    <w:p>
      <w:pPr>
        <w:numPr>
          <w:ilvl w:val="0"/>
          <w:numId w:val="1004"/>
        </w:numPr>
        <w:pStyle w:val="Compact"/>
      </w:pPr>
      <w:r>
        <w:t xml:space="preserve">Jakarta-specific holiday calendars and curriculum alignment tools</w:t>
      </w:r>
    </w:p>
    <w:p>
      <w:pPr>
        <w:numPr>
          <w:ilvl w:val="0"/>
          <w:numId w:val="1004"/>
        </w:numPr>
        <w:pStyle w:val="Compact"/>
      </w:pPr>
      <w:r>
        <w:t xml:space="preserve">Integration with Indonesia's national student ID system (NISN)</w:t>
      </w:r>
    </w:p>
    <w:p>
      <w:pPr>
        <w:numPr>
          <w:ilvl w:val="0"/>
          <w:numId w:val="1004"/>
        </w:numPr>
        <w:pStyle w:val="Compact"/>
      </w:pPr>
      <w:r>
        <w:t xml:space="preserve">Affordable tiered pricing based on school size (from 50-10,000 students)</w:t>
      </w:r>
    </w:p>
    <w:bookmarkEnd w:id="24"/>
    <w:bookmarkStart w:id="25" w:name="pricing-jakarta-market-optimized-model"/>
    <w:p>
      <w:pPr>
        <w:pStyle w:val="Heading3"/>
      </w:pPr>
      <w:r>
        <w:t xml:space="preserve">Pricing: Jakarta Market-Optimized Model</w:t>
      </w:r>
    </w:p>
    <w:p>
      <w:pPr>
        <w:pStyle w:val="FirstParagraph"/>
      </w:pPr>
      <w:r>
        <w:t xml:space="preserve">Adopting a value-based pricing structure:</w:t>
      </w:r>
    </w:p>
    <w:p>
      <w:pPr>
        <w:numPr>
          <w:ilvl w:val="0"/>
          <w:numId w:val="1005"/>
        </w:numPr>
        <w:pStyle w:val="Compact"/>
      </w:pPr>
      <w:r>
        <w:rPr>
          <w:bCs/>
          <w:b/>
        </w:rPr>
        <w:t xml:space="preserve">Basic Tier (Rp 8.5M/year):</w:t>
      </w:r>
      <w:r>
        <w:t xml:space="preserve"> </w:t>
      </w:r>
      <w:r>
        <w:t xml:space="preserve">For schools under 500 students (enrollment, basic reporting)</w:t>
      </w:r>
    </w:p>
    <w:p>
      <w:pPr>
        <w:numPr>
          <w:ilvl w:val="0"/>
          <w:numId w:val="1005"/>
        </w:numPr>
        <w:pStyle w:val="Compact"/>
      </w:pPr>
      <w:r>
        <w:rPr>
          <w:bCs/>
          <w:b/>
        </w:rPr>
        <w:t xml:space="preserve">Standard Tier (Rp 18.2M/year):</w:t>
      </w:r>
      <w:r>
        <w:t xml:space="preserve"> </w:t>
      </w:r>
      <w:r>
        <w:t xml:space="preserve">For medium schools (501-2,000 students) with parent portal and compliance modules</w:t>
      </w:r>
    </w:p>
    <w:p>
      <w:pPr>
        <w:numPr>
          <w:ilvl w:val="0"/>
          <w:numId w:val="1005"/>
        </w:numPr>
        <w:pStyle w:val="Compact"/>
      </w:pPr>
      <w:r>
        <w:rPr>
          <w:bCs/>
          <w:b/>
        </w:rPr>
        <w:t xml:space="preserve">Premium Tier (Rp 35M/year):</w:t>
      </w:r>
      <w:r>
        <w:t xml:space="preserve"> </w:t>
      </w:r>
      <w:r>
        <w:t xml:space="preserve">For large institutions/universities including API integration with Jakarta's Education Department systems</w:t>
      </w:r>
    </w:p>
    <w:p>
      <w:pPr>
        <w:pStyle w:val="FirstParagraph"/>
      </w:pPr>
      <w:r>
        <w:t xml:space="preserve">This pricing strategy addresses budget constraints while demonstrating clear ROI through documented time savings (40% reduction in administrative hours per institution).</w:t>
      </w:r>
    </w:p>
    <w:bookmarkEnd w:id="25"/>
    <w:bookmarkStart w:id="26" w:name="place-hyper-local-distribution-strategy"/>
    <w:p>
      <w:pPr>
        <w:pStyle w:val="Heading3"/>
      </w:pPr>
      <w:r>
        <w:t xml:space="preserve">Place: Hyper-Local Distribution Strategy</w:t>
      </w:r>
    </w:p>
    <w:p>
      <w:pPr>
        <w:pStyle w:val="FirstParagraph"/>
      </w:pPr>
      <w:r>
        <w:t xml:space="preserve">Implementation channels tailored for Jakarta:</w:t>
      </w:r>
    </w:p>
    <w:p>
      <w:pPr>
        <w:numPr>
          <w:ilvl w:val="0"/>
          <w:numId w:val="1006"/>
        </w:numPr>
        <w:pStyle w:val="Compact"/>
      </w:pPr>
      <w:r>
        <w:rPr>
          <w:bCs/>
          <w:b/>
        </w:rPr>
        <w:t xml:space="preserve">Dedicated Jakarta Sales Team:</w:t>
      </w:r>
      <w:r>
        <w:t xml:space="preserve"> </w:t>
      </w:r>
      <w:r>
        <w:t xml:space="preserve">12 field representatives covering all 5+ metropolitan districts (Jakarta Pusat, Utara, Selatan, Barat, Timur)</w:t>
      </w:r>
    </w:p>
    <w:p>
      <w:pPr>
        <w:numPr>
          <w:ilvl w:val="0"/>
          <w:numId w:val="1006"/>
        </w:numPr>
        <w:pStyle w:val="Compact"/>
      </w:pPr>
      <w:r>
        <w:rPr>
          <w:bCs/>
          <w:b/>
        </w:rPr>
        <w:t xml:space="preserve">Strategic Partnerships:</w:t>
      </w:r>
      <w:r>
        <w:t xml:space="preserve"> </w:t>
      </w:r>
      <w:r>
        <w:t xml:space="preserve">Co-branded solutions with Jakarta-based educational consultancies (e.g., EduKonsult Indonesia) and hardware vendors</w:t>
      </w:r>
    </w:p>
    <w:p>
      <w:pPr>
        <w:numPr>
          <w:ilvl w:val="0"/>
          <w:numId w:val="1006"/>
        </w:numPr>
        <w:pStyle w:val="Compact"/>
      </w:pPr>
      <w:r>
        <w:rPr>
          <w:bCs/>
          <w:b/>
        </w:rPr>
        <w:t xml:space="preserve">Digital Ecosystem:</w:t>
      </w:r>
      <w:r>
        <w:t xml:space="preserve"> </w:t>
      </w:r>
      <w:r>
        <w:t xml:space="preserve">Seamless deployment via cloud infrastructure hosted in Jakarta data centers (complying with Indonesia's PDP Law)</w:t>
      </w:r>
    </w:p>
    <w:bookmarkEnd w:id="26"/>
    <w:bookmarkStart w:id="27" w:name="promotion-culturally-resonant-campaigns"/>
    <w:p>
      <w:pPr>
        <w:pStyle w:val="Heading3"/>
      </w:pPr>
      <w:r>
        <w:t xml:space="preserve">Promotion: Culturally-Resonant Campaigns</w:t>
      </w:r>
    </w:p>
    <w:p>
      <w:pPr>
        <w:pStyle w:val="FirstParagraph"/>
      </w:pPr>
      <w:r>
        <w:t xml:space="preserve">Multi-channel approach leveraging Jakarta's unique communication landscape:</w:t>
      </w:r>
    </w:p>
    <w:p>
      <w:pPr>
        <w:numPr>
          <w:ilvl w:val="0"/>
          <w:numId w:val="1007"/>
        </w:numPr>
        <w:pStyle w:val="Compact"/>
      </w:pPr>
      <w:r>
        <w:rPr>
          <w:bCs/>
          <w:b/>
        </w:rPr>
        <w:t xml:space="preserve">Industry Events:</w:t>
      </w:r>
      <w:r>
        <w:t xml:space="preserve"> </w:t>
      </w:r>
      <w:r>
        <w:t xml:space="preserve">Exclusive workshops at Jakarta Education Week (May 2024) with case studies from PT. ABC School Group</w:t>
      </w:r>
    </w:p>
    <w:p>
      <w:pPr>
        <w:numPr>
          <w:ilvl w:val="0"/>
          <w:numId w:val="1007"/>
        </w:numPr>
        <w:pStyle w:val="Compact"/>
      </w:pPr>
      <w:r>
        <w:rPr>
          <w:bCs/>
          <w:b/>
        </w:rPr>
        <w:t xml:space="preserve">Social Media:</w:t>
      </w:r>
      <w:r>
        <w:t xml:space="preserve"> </w:t>
      </w:r>
      <w:r>
        <w:t xml:space="preserve">Targeted Instagram/Facebook campaigns using Bahasa Indonesia with testimonials from Jakarta school administrators</w:t>
      </w:r>
    </w:p>
    <w:p>
      <w:pPr>
        <w:numPr>
          <w:ilvl w:val="0"/>
          <w:numId w:val="1007"/>
        </w:numPr>
        <w:pStyle w:val="Compact"/>
      </w:pPr>
      <w:r>
        <w:rPr>
          <w:bCs/>
          <w:b/>
        </w:rPr>
        <w:t xml:space="preserve">Content Marketing:</w:t>
      </w:r>
      <w:r>
        <w:t xml:space="preserve"> </w:t>
      </w:r>
      <w:r>
        <w:t xml:space="preserve">Free "Compliance Guide for Jakarta Schools" downloadable resource, positioning us as regulatory experts</w:t>
      </w:r>
    </w:p>
    <w:p>
      <w:pPr>
        <w:numPr>
          <w:ilvl w:val="0"/>
          <w:numId w:val="1007"/>
        </w:numPr>
        <w:pStyle w:val="Compact"/>
      </w:pPr>
      <w:r>
        <w:rPr>
          <w:bCs/>
          <w:b/>
        </w:rPr>
        <w:t xml:space="preserve">Referral Program:</w:t>
      </w:r>
      <w:r>
        <w:t xml:space="preserve"> </w:t>
      </w:r>
      <w:r>
        <w:t xml:space="preserve">10% discount for current users referring other Jakarta institutions (leveraging existing administrator networks)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KPI Targets</w:t>
            </w:r>
          </w:p>
        </w:tc>
      </w:tr>
      <w:tr>
        <w:tc>
          <w:tcPr/>
          <w:p>
            <w:pPr>
              <w:pStyle w:val="Compact"/>
              <w:jc w:val="left"/>
            </w:pPr>
            <w:r>
              <w:t xml:space="preserve">Q1 2024</w:t>
            </w:r>
          </w:p>
        </w:tc>
        <w:tc>
          <w:tcPr/>
          <w:p>
            <w:pPr>
              <w:pStyle w:val="Compact"/>
              <w:jc w:val="left"/>
            </w:pPr>
            <w:r>
              <w:t xml:space="preserve">Landing page localization, Jakarta sales team onboarding, initial pilot with 5 schools in West Jakarta</w:t>
            </w:r>
          </w:p>
        </w:tc>
        <w:tc>
          <w:tcPr/>
          <w:p>
            <w:pPr>
              <w:pStyle w:val="Compact"/>
              <w:jc w:val="left"/>
            </w:pPr>
            <w:r>
              <w:t xml:space="preserve">5 pilot contracts, 300 website leads</w:t>
            </w:r>
          </w:p>
        </w:tc>
      </w:tr>
      <w:tr>
        <w:tc>
          <w:tcPr/>
          <w:p>
            <w:pPr>
              <w:pStyle w:val="Compact"/>
              <w:jc w:val="left"/>
            </w:pPr>
            <w:r>
              <w:t xml:space="preserve">Q2 2024</w:t>
            </w:r>
          </w:p>
        </w:tc>
        <w:tc>
          <w:tcPr/>
          <w:p>
            <w:pPr>
              <w:pStyle w:val="Compact"/>
              <w:jc w:val="left"/>
            </w:pPr>
            <w:r>
              <w:t xml:space="preserve">Launch at Jakarta Education Summit, partner with Indonesian Association of Schools (AIS), begin referral program</w:t>
            </w:r>
          </w:p>
        </w:tc>
        <w:tc>
          <w:tcPr/>
          <w:p>
            <w:pPr>
              <w:pStyle w:val="Compact"/>
              <w:jc w:val="left"/>
            </w:pPr>
            <w:r>
              <w:t xml:space="preserve">15 new contracts, 50% lead-to-opportunity rate</w:t>
            </w:r>
          </w:p>
        </w:tc>
      </w:tr>
      <w:tr>
        <w:tc>
          <w:tcPr/>
          <w:p>
            <w:pPr>
              <w:pStyle w:val="Compact"/>
              <w:jc w:val="left"/>
            </w:pPr>
            <w:r>
              <w:t xml:space="preserve">Q3 2024</w:t>
            </w:r>
          </w:p>
        </w:tc>
        <w:tc>
          <w:tcPr/>
          <w:p>
            <w:pPr>
              <w:pStyle w:val="Compact"/>
              <w:jc w:val="left"/>
            </w:pPr>
            <w:r>
              <w:t xml:space="preserve">Expand to East Jakarta districts, deploy compliance webinar series for school principals</w:t>
            </w:r>
          </w:p>
        </w:tc>
        <w:tc>
          <w:tcPr/>
          <w:p>
            <w:pPr>
              <w:pStyle w:val="Compact"/>
              <w:jc w:val="left"/>
            </w:pPr>
            <w:r>
              <w:t xml:space="preserve">35 total contracts, 85% satisfaction in pilot schools</w:t>
            </w:r>
          </w:p>
        </w:tc>
      </w:tr>
      <w:tr>
        <w:tc>
          <w:tcPr/>
          <w:p>
            <w:pPr>
              <w:pStyle w:val="Compact"/>
              <w:jc w:val="left"/>
            </w:pPr>
            <w:r>
              <w:t xml:space="preserve">Q4 2024</w:t>
            </w:r>
          </w:p>
        </w:tc>
        <w:tc>
          <w:tcPr/>
          <w:p>
            <w:pPr>
              <w:pStyle w:val="Compact"/>
              <w:jc w:val="left"/>
            </w:pPr>
            <w:r>
              <w:t xml:space="preserve">Leverage end-of-year budget cycles for university contracts, publish Jakarta-specific ROI report</w:t>
            </w:r>
          </w:p>
        </w:tc>
        <w:tc>
          <w:tcPr/>
          <w:p>
            <w:pPr>
              <w:pStyle w:val="Compact"/>
              <w:jc w:val="left"/>
            </w:pPr>
            <w:r>
              <w:t xml:space="preserve">75 total contracts, 15% market share target achieved</w:t>
            </w:r>
          </w:p>
        </w:tc>
      </w:tr>
    </w:tbl>
    <w:bookmarkEnd w:id="29"/>
    <w:bookmarkStart w:id="30" w:name="budget-allocation-total-rp-248.5m"/>
    <w:p>
      <w:pPr>
        <w:pStyle w:val="Heading2"/>
      </w:pPr>
      <w:r>
        <w:t xml:space="preserve">Budget Allocation (Total: Rp 248.5M)</w:t>
      </w:r>
    </w:p>
    <w:p>
      <w:pPr>
        <w:pStyle w:val="FirstParagraph"/>
      </w:pPr>
      <w:r>
        <w:t xml:space="preserve">Allocated specifically for Indonesia Jakarta execution:</w:t>
      </w:r>
    </w:p>
    <w:p>
      <w:pPr>
        <w:numPr>
          <w:ilvl w:val="0"/>
          <w:numId w:val="1008"/>
        </w:numPr>
        <w:pStyle w:val="Compact"/>
      </w:pPr>
      <w:r>
        <w:t xml:space="preserve">Field Sales Team (40%): Rp 99.4M for Jakarta-based representatives, travel, and local marketing materials</w:t>
      </w:r>
    </w:p>
    <w:p>
      <w:pPr>
        <w:numPr>
          <w:ilvl w:val="0"/>
          <w:numId w:val="1008"/>
        </w:numPr>
        <w:pStyle w:val="Compact"/>
      </w:pPr>
      <w:r>
        <w:t xml:space="preserve">Digital Campaigns (30%): Rp 74.6M for targeted social media ads, SEO in Bahasa Indonesia</w:t>
      </w:r>
    </w:p>
    <w:p>
      <w:pPr>
        <w:numPr>
          <w:ilvl w:val="0"/>
          <w:numId w:val="1008"/>
        </w:numPr>
        <w:pStyle w:val="Compact"/>
      </w:pPr>
      <w:r>
        <w:t xml:space="preserve">Event Participation (15%): Rp 37.3M for Jakarta Education Week sponsorship and workshops</w:t>
      </w:r>
    </w:p>
    <w:p>
      <w:pPr>
        <w:numPr>
          <w:ilvl w:val="0"/>
          <w:numId w:val="1008"/>
        </w:numPr>
        <w:pStyle w:val="Compact"/>
      </w:pPr>
      <w:r>
        <w:t xml:space="preserve">Content Development (10%): Rp 24.8M for compliance guides, case studies with Jakarta institutions</w:t>
      </w:r>
    </w:p>
    <w:p>
      <w:pPr>
        <w:numPr>
          <w:ilvl w:val="0"/>
          <w:numId w:val="1008"/>
        </w:numPr>
        <w:pStyle w:val="Compact"/>
      </w:pPr>
      <w:r>
        <w:t xml:space="preserve">Contingency (5%): Rp 12.4M for unforeseen local market adaptations</w:t>
      </w:r>
    </w:p>
    <w:bookmarkEnd w:id="30"/>
    <w:bookmarkStart w:id="31" w:name="evaluation-metrics-success-criteria"/>
    <w:p>
      <w:pPr>
        <w:pStyle w:val="Heading2"/>
      </w:pPr>
      <w:r>
        <w:t xml:space="preserve">Evaluation Metrics &amp; Success Criteria</w:t>
      </w:r>
    </w:p>
    <w:p>
      <w:pPr>
        <w:pStyle w:val="FirstParagraph"/>
      </w:pPr>
      <w:r>
        <w:t xml:space="preserve">Success will be measured through:</w:t>
      </w:r>
    </w:p>
    <w:p>
      <w:pPr>
        <w:numPr>
          <w:ilvl w:val="0"/>
          <w:numId w:val="1009"/>
        </w:numPr>
        <w:pStyle w:val="Compact"/>
      </w:pPr>
      <w:r>
        <w:rPr>
          <w:bCs/>
          <w:b/>
        </w:rPr>
        <w:t xml:space="preserve">Quantitative:</w:t>
      </w:r>
      <w:r>
        <w:t xml:space="preserve"> </w:t>
      </w:r>
      <w:r>
        <w:t xml:space="preserve">Monthly contract acquisition rate, customer retention rate (target: 90%+ at 1 year), average revenue per user</w:t>
      </w:r>
    </w:p>
    <w:p>
      <w:pPr>
        <w:numPr>
          <w:ilvl w:val="0"/>
          <w:numId w:val="1009"/>
        </w:numPr>
        <w:pStyle w:val="Compact"/>
      </w:pPr>
      <w:r>
        <w:rPr>
          <w:bCs/>
          <w:b/>
        </w:rPr>
        <w:t xml:space="preserve">Qualitative:</w:t>
      </w:r>
      <w:r>
        <w:t xml:space="preserve"> </w:t>
      </w:r>
      <w:r>
        <w:t xml:space="preserve">NPS scores from Jakarta administrators, feedback on Bahasa Indonesia interface usability</w:t>
      </w:r>
    </w:p>
    <w:p>
      <w:pPr>
        <w:numPr>
          <w:ilvl w:val="0"/>
          <w:numId w:val="1009"/>
        </w:numPr>
        <w:pStyle w:val="Compact"/>
      </w:pPr>
      <w:r>
        <w:rPr>
          <w:bCs/>
          <w:b/>
        </w:rPr>
        <w:t xml:space="preserve">Market Positioning:</w:t>
      </w:r>
      <w:r>
        <w:t xml:space="preserve"> </w:t>
      </w:r>
      <w:r>
        <w:t xml:space="preserve">Brand recognition in Jakarta education circles (measured via quarterly brand tracker surveys)</w:t>
      </w:r>
    </w:p>
    <w:bookmarkEnd w:id="31"/>
    <w:bookmarkStart w:id="32" w:name="closing-statement"/>
    <w:p>
      <w:pPr>
        <w:pStyle w:val="Heading2"/>
      </w:pPr>
      <w:r>
        <w:t xml:space="preserve">Closing Statement</w:t>
      </w:r>
    </w:p>
    <w:p>
      <w:pPr>
        <w:pStyle w:val="FirstParagraph"/>
      </w:pPr>
      <w:r>
        <w:t xml:space="preserve">This Marketing Plan positions our Education Administrator solution as the essential operational backbone for Jakarta's evolving education sector. By deeply understanding Indonesia Jakarta's unique regulatory environment and cultural context—rather than importing generic Western solutions—we deliver unmatched value that directly addresses administrators' daily challenges. Our hyper-local approach, from Bahasa Indonesia-first UI design to Jakarta-specific compliance modules, ensures immediate relevance in the region's most dynamic educational market. With a clear 24-month roadmap focused on measurable penetration in Indonesia Jakarta's K-12 and higher education sectors, this plan establishes not just a product launch—but the foundation for becoming the industry standard for Education Administrator solutions across Indonesia.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Education Administrator Solutions - Jakarta, Indonesia</dc:title>
  <dc:creator/>
  <dc:language>en</dc:language>
  <cp:keywords/>
  <dcterms:created xsi:type="dcterms:W3CDTF">2026-07-21T05:49:56Z</dcterms:created>
  <dcterms:modified xsi:type="dcterms:W3CDTF">2026-07-21T05:49:56Z</dcterms:modified>
</cp:coreProperties>
</file>

<file path=docProps/custom.xml><?xml version="1.0" encoding="utf-8"?>
<Properties xmlns="http://schemas.openxmlformats.org/officeDocument/2006/custom-properties" xmlns:vt="http://schemas.openxmlformats.org/officeDocument/2006/docPropsVTypes"/>
</file>