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Tokyo</w:t>
      </w:r>
    </w:p>
    <w:bookmarkStart w:id="30" w:name="Xbe745fe1a8d92e391bf88ee50d91d64f4f0a2a6"/>
    <w:p>
      <w:pPr>
        <w:pStyle w:val="Heading1"/>
      </w:pPr>
      <w:r>
        <w:t xml:space="preserve">Comprehensive Marketing Plan: Elevating the Role of Education Administrator in Japan, Tokyo</w:t>
      </w:r>
    </w:p>
    <w:p>
      <w:pPr>
        <w:pStyle w:val="FirstParagraph"/>
      </w:pPr>
      <w:r>
        <w:t xml:space="preserve">This strategic marketing plan outlines a targeted approach to position and promote the critical role of an</w:t>
      </w:r>
      <w:r>
        <w:t xml:space="preserve"> </w:t>
      </w:r>
      <w:r>
        <w:rPr>
          <w:bCs/>
          <w:b/>
        </w:rPr>
        <w:t xml:space="preserve">Education Administrator</w:t>
      </w:r>
      <w:r>
        <w:t xml:space="preserve"> </w:t>
      </w:r>
      <w:r>
        <w:t xml:space="preserve">within the dynamic educational landscape of</w:t>
      </w:r>
      <w:r>
        <w:t xml:space="preserve"> </w:t>
      </w:r>
      <w:r>
        <w:rPr>
          <w:bCs/>
          <w:b/>
        </w:rPr>
        <w:t xml:space="preserve">Japan, Tokyo</w:t>
      </w:r>
      <w:r>
        <w:t xml:space="preserve">. As Tokyo navigates rapid societal shifts, technological integration in schools, and evolving government mandates like the "New Curriculum" initiative, the need for skilled</w:t>
      </w:r>
      <w:r>
        <w:t xml:space="preserve"> </w:t>
      </w:r>
      <w:r>
        <w:rPr>
          <w:iCs/>
          <w:i/>
        </w:rPr>
        <w:t xml:space="preserve">Education Administrators</w:t>
      </w:r>
      <w:r>
        <w:t xml:space="preserve"> </w:t>
      </w:r>
      <w:r>
        <w:t xml:space="preserve">has never been more urgent. This plan details a 12-month campaign to attract top-tier talent for this pivotal position, ensuring Tokyo's educational institutions remain at the forefront of global standards while respecting Japanese cultural and administrative nuances.</w:t>
      </w:r>
    </w:p>
    <w:bookmarkStart w:id="20" w:name="X0f450866b0d198d261a27721bd6be43fef493b8"/>
    <w:p>
      <w:pPr>
        <w:pStyle w:val="Heading2"/>
      </w:pPr>
      <w:r>
        <w:t xml:space="preserve">I. Executive Summary: The Imperative in Japan, Tokyo</w:t>
      </w:r>
    </w:p>
    <w:p>
      <w:pPr>
        <w:pStyle w:val="FirstParagraph"/>
      </w:pPr>
      <w:r>
        <w:t xml:space="preserve">Japan's education sector faces unique pressures in</w:t>
      </w:r>
      <w:r>
        <w:t xml:space="preserve"> </w:t>
      </w:r>
      <w:r>
        <w:rPr>
          <w:bCs/>
          <w:b/>
        </w:rPr>
        <w:t xml:space="preserve">Tokyo</w:t>
      </w:r>
      <w:r>
        <w:t xml:space="preserve">, including rising student diversity, demands for digital literacy (e.g., the GIGA School Program), and stringent government performance metrics. An effective</w:t>
      </w:r>
      <w:r>
        <w:t xml:space="preserve"> </w:t>
      </w:r>
      <w:r>
        <w:rPr>
          <w:bCs/>
          <w:b/>
        </w:rPr>
        <w:t xml:space="preserve">Education Administrator</w:t>
      </w:r>
      <w:r>
        <w:t xml:space="preserve"> </w:t>
      </w:r>
      <w:r>
        <w:t xml:space="preserve">is not merely a manager but a strategic leader bridging policy, pedagogy, and community needs. This Marketing Plan directly addresses Tokyo's acute shortage of administrators who understand both Japanese educational bureaucracy (e.g., MEXT directives) and modern leadership frameworks. We target candidates with proven experience in Japanese public education systems or international schools accredited by the Tokyo Metropolitan Board of Education.</w:t>
      </w:r>
    </w:p>
    <w:bookmarkEnd w:id="20"/>
    <w:bookmarkStart w:id="21" w:name="ii.-market-analysis-the-tokyo-context"/>
    <w:p>
      <w:pPr>
        <w:pStyle w:val="Heading2"/>
      </w:pPr>
      <w:r>
        <w:t xml:space="preserve">II. Market Analysis: The Tokyo Context</w:t>
      </w:r>
    </w:p>
    <w:p>
      <w:pPr>
        <w:pStyle w:val="FirstParagraph"/>
      </w:pPr>
      <w:r>
        <w:rPr>
          <w:bCs/>
          <w:b/>
        </w:rPr>
        <w:t xml:space="preserve">Japan, Tokyo</w:t>
      </w:r>
      <w:r>
        <w:t xml:space="preserve">'s education market is characterized by:</w:t>
      </w:r>
    </w:p>
    <w:p>
      <w:pPr>
        <w:numPr>
          <w:ilvl w:val="0"/>
          <w:numId w:val="1001"/>
        </w:numPr>
        <w:pStyle w:val="Compact"/>
      </w:pPr>
      <w:r>
        <w:rPr>
          <w:bCs/>
          <w:b/>
        </w:rPr>
        <w:t xml:space="preserve">High Demand, Low Supply:</w:t>
      </w:r>
      <w:r>
        <w:t xml:space="preserve"> </w:t>
      </w:r>
      <w:r>
        <w:t xml:space="preserve">A 30% vacancy rate for senior administrator roles in Tokyo metropolitan schools (MEXT 2023), exacerbated by retirements and a lack of internal succession pipelines.</w:t>
      </w:r>
    </w:p>
    <w:p>
      <w:pPr>
        <w:numPr>
          <w:ilvl w:val="0"/>
          <w:numId w:val="1001"/>
        </w:numPr>
        <w:pStyle w:val="Compact"/>
      </w:pPr>
      <w:r>
        <w:rPr>
          <w:bCs/>
          <w:b/>
        </w:rPr>
        <w:t xml:space="preserve">Cultural Specificity:</w:t>
      </w:r>
      <w:r>
        <w:t xml:space="preserve"> </w:t>
      </w:r>
      <w:r>
        <w:t xml:space="preserve">Success requires fluency in Japanese administrative protocols (e.g.,</w:t>
      </w:r>
      <w:r>
        <w:t xml:space="preserve"> </w:t>
      </w:r>
      <w:r>
        <w:rPr>
          <w:iCs/>
          <w:i/>
        </w:rPr>
        <w:t xml:space="preserve">kyōiku kantokusha</w:t>
      </w:r>
      <w:r>
        <w:t xml:space="preserve"> </w:t>
      </w:r>
      <w:r>
        <w:t xml:space="preserve">expectations), group consensus-building (</w:t>
      </w:r>
      <w:r>
        <w:rPr>
          <w:iCs/>
          <w:i/>
        </w:rPr>
        <w:t xml:space="preserve">nemawashi</w:t>
      </w:r>
      <w:r>
        <w:t xml:space="preserve">), and sensitivity to parental expectations (</w:t>
      </w:r>
      <w:r>
        <w:rPr>
          <w:iCs/>
          <w:i/>
        </w:rPr>
        <w:t xml:space="preserve">kodomo no seikatsu</w:t>
      </w:r>
      <w:r>
        <w:t xml:space="preserve">). Western-style leadership models often fail here.</w:t>
      </w:r>
    </w:p>
    <w:p>
      <w:pPr>
        <w:numPr>
          <w:ilvl w:val="0"/>
          <w:numId w:val="1001"/>
        </w:numPr>
        <w:pStyle w:val="Compact"/>
      </w:pPr>
      <w:r>
        <w:rPr>
          <w:bCs/>
          <w:b/>
        </w:rPr>
        <w:t xml:space="preserve">National Priorities:</w:t>
      </w:r>
      <w:r>
        <w:t xml:space="preserve"> </w:t>
      </w:r>
      <w:r>
        <w:t xml:space="preserve">Tokyo schools are primary implementation sites for Japan's "Society 5.0" education reforms, demanding administrators who can manage AI-integrated classrooms and global competency curricula (e.g., English-medium instruction expansion).</w:t>
      </w:r>
    </w:p>
    <w:bookmarkEnd w:id="21"/>
    <w:bookmarkStart w:id="22" w:name="iii.-target-audience-positioning"/>
    <w:p>
      <w:pPr>
        <w:pStyle w:val="Heading2"/>
      </w:pPr>
      <w:r>
        <w:t xml:space="preserve">III. Target Audience &amp; Positioning</w:t>
      </w:r>
    </w:p>
    <w:p>
      <w:pPr>
        <w:pStyle w:val="FirstParagraph"/>
      </w:pPr>
      <w:r>
        <w:t xml:space="preserve">We position the</w:t>
      </w:r>
      <w:r>
        <w:t xml:space="preserve"> </w:t>
      </w:r>
      <w:r>
        <w:rPr>
          <w:bCs/>
          <w:b/>
        </w:rPr>
        <w:t xml:space="preserve">Education Administrator</w:t>
      </w:r>
      <w:r>
        <w:t xml:space="preserve"> </w:t>
      </w:r>
      <w:r>
        <w:t xml:space="preserve">role as a catalyst for systemic innovation within Tokyo's education ecosystem. Primary audience segments:</w:t>
      </w:r>
    </w:p>
    <w:p>
      <w:pPr>
        <w:numPr>
          <w:ilvl w:val="0"/>
          <w:numId w:val="1002"/>
        </w:numPr>
        <w:pStyle w:val="Compact"/>
      </w:pPr>
      <w:r>
        <w:rPr>
          <w:bCs/>
          <w:b/>
        </w:rPr>
        <w:t xml:space="preserve">Experienced Japanese Educators:</w:t>
      </w:r>
      <w:r>
        <w:t xml:space="preserve"> </w:t>
      </w:r>
      <w:r>
        <w:t xml:space="preserve">Current principals, board members, or MEXT-affiliated staff seeking strategic growth (e.g., transitioning from school-level to district-level roles).</w:t>
      </w:r>
    </w:p>
    <w:p>
      <w:pPr>
        <w:numPr>
          <w:ilvl w:val="0"/>
          <w:numId w:val="1002"/>
        </w:numPr>
        <w:pStyle w:val="Compact"/>
      </w:pPr>
      <w:r>
        <w:rPr>
          <w:bCs/>
          <w:b/>
        </w:rPr>
        <w:t xml:space="preserve">International Candidates with Japan Expertise:</w:t>
      </w:r>
      <w:r>
        <w:t xml:space="preserve"> </w:t>
      </w:r>
      <w:r>
        <w:t xml:space="preserve">Foreign educators with 5+ years in Japanese schools (e.g., JET Programme alumni) and fluency in Japanese administration.</w:t>
      </w:r>
    </w:p>
    <w:p>
      <w:pPr>
        <w:numPr>
          <w:ilvl w:val="0"/>
          <w:numId w:val="1002"/>
        </w:numPr>
        <w:pStyle w:val="Compact"/>
      </w:pPr>
      <w:r>
        <w:rPr>
          <w:bCs/>
          <w:b/>
        </w:rPr>
        <w:t xml:space="preserve">Tokyo-Based Talent Seekers:</w:t>
      </w:r>
      <w:r>
        <w:t xml:space="preserve"> </w:t>
      </w:r>
      <w:r>
        <w:t xml:space="preserve">Mid-career professionals seeking purpose-driven leadership roles amid Tokyo’s urban challenges (e.g., balancing academic rigor with student mental health initiatives).</w:t>
      </w:r>
    </w:p>
    <w:p>
      <w:pPr>
        <w:pStyle w:val="FirstParagraph"/>
      </w:pPr>
      <w:r>
        <w:t xml:space="preserve">Positioning Statement: "Lead Tokyo's Education Transformation: Become an</w:t>
      </w:r>
      <w:r>
        <w:t xml:space="preserve"> </w:t>
      </w:r>
      <w:r>
        <w:rPr>
          <w:iCs/>
          <w:i/>
        </w:rPr>
        <w:t xml:space="preserve">Education Administrator</w:t>
      </w:r>
      <w:r>
        <w:t xml:space="preserve"> </w:t>
      </w:r>
      <w:r>
        <w:t xml:space="preserve">Driving Policy, Technology, and Community Excellence in Japan’s Premier Educational Hub."</w:t>
      </w:r>
    </w:p>
    <w:bookmarkEnd w:id="22"/>
    <w:bookmarkStart w:id="26" w:name="iv.-marketing-strategy-tactics"/>
    <w:p>
      <w:pPr>
        <w:pStyle w:val="Heading2"/>
      </w:pPr>
      <w:r>
        <w:t xml:space="preserve">IV. Marketing Strategy &amp; Tactics</w:t>
      </w:r>
    </w:p>
    <w:p>
      <w:pPr>
        <w:pStyle w:val="FirstParagraph"/>
      </w:pPr>
      <w:r>
        <w:t xml:space="preserve">This plan employs a hyper-localized, multi-channel approach tailored to Tokyo's professional culture:</w:t>
      </w:r>
    </w:p>
    <w:bookmarkStart w:id="23" w:name="a.-digital-campaign-japan-optimized"/>
    <w:p>
      <w:pPr>
        <w:pStyle w:val="Heading3"/>
      </w:pPr>
      <w:r>
        <w:t xml:space="preserve">A. Digital Campaign (Japan-Optimized)</w:t>
      </w:r>
    </w:p>
    <w:p>
      <w:pPr>
        <w:numPr>
          <w:ilvl w:val="0"/>
          <w:numId w:val="1003"/>
        </w:numPr>
        <w:pStyle w:val="Compact"/>
      </w:pPr>
      <w:r>
        <w:rPr>
          <w:bCs/>
          <w:b/>
        </w:rPr>
        <w:t xml:space="preserve">LinkedIn Japan &amp; Rikunabi:</w:t>
      </w:r>
      <w:r>
        <w:t xml:space="preserve"> </w:t>
      </w:r>
      <w:r>
        <w:t xml:space="preserve">Targeted ads using Japanese keywords (</w:t>
      </w:r>
      <w:r>
        <w:rPr>
          <w:iCs/>
          <w:i/>
        </w:rPr>
        <w:t xml:space="preserve">"教育行政職", "東京校長補佐"</w:t>
      </w:r>
      <w:r>
        <w:t xml:space="preserve">) and content highlighting Tokyo-specific challenges (e.g., "Managing 2025 GIGA School Digital Transition in Tokyo Districts").</w:t>
      </w:r>
    </w:p>
    <w:p>
      <w:pPr>
        <w:numPr>
          <w:ilvl w:val="0"/>
          <w:numId w:val="1003"/>
        </w:numPr>
        <w:pStyle w:val="Compact"/>
      </w:pPr>
      <w:r>
        <w:rPr>
          <w:bCs/>
          <w:b/>
        </w:rPr>
        <w:t xml:space="preserve">Partnering with MEXT &amp; Boards:</w:t>
      </w:r>
      <w:r>
        <w:t xml:space="preserve"> </w:t>
      </w:r>
      <w:r>
        <w:t xml:space="preserve">Co-branded webinars with the Tokyo Metropolitan Board of Education on "Future-Proofing Administration" (featuring current Tokyo school leaders).</w:t>
      </w:r>
    </w:p>
    <w:p>
      <w:pPr>
        <w:numPr>
          <w:ilvl w:val="0"/>
          <w:numId w:val="1003"/>
        </w:numPr>
        <w:pStyle w:val="Compact"/>
      </w:pPr>
      <w:r>
        <w:rPr>
          <w:bCs/>
          <w:b/>
        </w:rPr>
        <w:t xml:space="preserve">Localized Content:</w:t>
      </w:r>
      <w:r>
        <w:t xml:space="preserve"> </w:t>
      </w:r>
      <w:r>
        <w:t xml:space="preserve">Blog posts in Japanese and English on LinkedIn: "How an</w:t>
      </w:r>
      <w:r>
        <w:t xml:space="preserve"> </w:t>
      </w:r>
      <w:r>
        <w:rPr>
          <w:iCs/>
          <w:i/>
        </w:rPr>
        <w:t xml:space="preserve">Education Administrator</w:t>
      </w:r>
      <w:r>
        <w:t xml:space="preserve"> </w:t>
      </w:r>
      <w:r>
        <w:t xml:space="preserve">in Tokyo Reduced Teacher Burnout by 35% Through Cultural Adaptation."</w:t>
      </w:r>
    </w:p>
    <w:bookmarkEnd w:id="23"/>
    <w:bookmarkStart w:id="24" w:name="Xee41bb95198a52e4ba034ec1227b221bfb1ce47"/>
    <w:p>
      <w:pPr>
        <w:pStyle w:val="Heading3"/>
      </w:pPr>
      <w:r>
        <w:t xml:space="preserve">B. Community &amp; Institutional Engagement (Tokyo-Focused)</w:t>
      </w:r>
    </w:p>
    <w:p>
      <w:pPr>
        <w:numPr>
          <w:ilvl w:val="0"/>
          <w:numId w:val="1004"/>
        </w:numPr>
        <w:pStyle w:val="Compact"/>
      </w:pPr>
      <w:r>
        <w:rPr>
          <w:bCs/>
          <w:b/>
        </w:rPr>
        <w:t xml:space="preserve">Tokyo Education Forums:</w:t>
      </w:r>
      <w:r>
        <w:t xml:space="preserve"> </w:t>
      </w:r>
      <w:r>
        <w:t xml:space="preserve">Sponsorship of events like the Tokyo School Management Symposium to showcase the role’s strategic impact.</w:t>
      </w:r>
    </w:p>
    <w:p>
      <w:pPr>
        <w:numPr>
          <w:ilvl w:val="0"/>
          <w:numId w:val="1004"/>
        </w:numPr>
        <w:pStyle w:val="Compact"/>
      </w:pPr>
      <w:r>
        <w:rPr>
          <w:bCs/>
          <w:b/>
        </w:rPr>
        <w:t xml:space="preserve">University Partnerships:</w:t>
      </w:r>
      <w:r>
        <w:t xml:space="preserve"> </w:t>
      </w:r>
      <w:r>
        <w:t xml:space="preserve">Collaborations with Keio, Waseda, and University of Tokyo's Graduate School of Education for recruitment fairs targeting future administrators.</w:t>
      </w:r>
    </w:p>
    <w:p>
      <w:pPr>
        <w:numPr>
          <w:ilvl w:val="0"/>
          <w:numId w:val="1004"/>
        </w:numPr>
        <w:pStyle w:val="Compact"/>
      </w:pPr>
      <w:r>
        <w:rPr>
          <w:bCs/>
          <w:b/>
        </w:rPr>
        <w:t xml:space="preserve">Kanji &amp; Japanese Language Integration:</w:t>
      </w:r>
      <w:r>
        <w:t xml:space="preserve"> </w:t>
      </w:r>
      <w:r>
        <w:t xml:space="preserve">All materials include essential Japanese terms (e.g., "教育委員会" [Board of Education]) to signal cultural competence.</w:t>
      </w:r>
    </w:p>
    <w:bookmarkEnd w:id="24"/>
    <w:bookmarkStart w:id="25" w:name="c.-employer-branding-in-japan-tokyo"/>
    <w:p>
      <w:pPr>
        <w:pStyle w:val="Heading3"/>
      </w:pPr>
      <w:r>
        <w:t xml:space="preserve">C. Employer Branding in Japan, Tokyo</w:t>
      </w:r>
    </w:p>
    <w:p>
      <w:pPr>
        <w:pStyle w:val="FirstParagraph"/>
      </w:pPr>
      <w:r>
        <w:t xml:space="preserve">We emphasize Tokyo’s unique advantages to attract candidates:</w:t>
      </w:r>
    </w:p>
    <w:p>
      <w:pPr>
        <w:numPr>
          <w:ilvl w:val="0"/>
          <w:numId w:val="1005"/>
        </w:numPr>
        <w:pStyle w:val="Compact"/>
      </w:pPr>
      <w:r>
        <w:rPr>
          <w:bCs/>
          <w:b/>
        </w:rPr>
        <w:t xml:space="preserve">Impact:</w:t>
      </w:r>
      <w:r>
        <w:t xml:space="preserve"> </w:t>
      </w:r>
      <w:r>
        <w:t xml:space="preserve">"Shape Tokyo’s 2030 Education Vision – from Shibuya to Shinjuku schools."</w:t>
      </w:r>
    </w:p>
    <w:p>
      <w:pPr>
        <w:numPr>
          <w:ilvl w:val="0"/>
          <w:numId w:val="1005"/>
        </w:numPr>
        <w:pStyle w:val="Compact"/>
      </w:pPr>
      <w:r>
        <w:rPr>
          <w:bCs/>
          <w:b/>
        </w:rPr>
        <w:t xml:space="preserve">Cultural Immersion:</w:t>
      </w:r>
      <w:r>
        <w:t xml:space="preserve"> </w:t>
      </w:r>
      <w:r>
        <w:t xml:space="preserve">"Lead within Japan’s most dynamic education ecosystem while deepening your understanding of Japanese administrative ethos."</w:t>
      </w:r>
    </w:p>
    <w:p>
      <w:pPr>
        <w:numPr>
          <w:ilvl w:val="0"/>
          <w:numId w:val="1005"/>
        </w:numPr>
        <w:pStyle w:val="Compact"/>
      </w:pPr>
      <w:r>
        <w:rPr>
          <w:bCs/>
          <w:b/>
        </w:rPr>
        <w:t xml:space="preserve">Professional Growth:</w:t>
      </w:r>
      <w:r>
        <w:t xml:space="preserve"> </w:t>
      </w:r>
      <w:r>
        <w:t xml:space="preserve">"Pathway to national leadership roles with MEXT or Tokyo Board of Education recognition."</w:t>
      </w:r>
    </w:p>
    <w:bookmarkEnd w:id="25"/>
    <w:bookmarkEnd w:id="26"/>
    <w:bookmarkStart w:id="27" w:name="v.-measurement-kpis"/>
    <w:p>
      <w:pPr>
        <w:pStyle w:val="Heading2"/>
      </w:pPr>
      <w:r>
        <w:t xml:space="preserve">V. Measurement &amp; KPIs</w:t>
      </w:r>
    </w:p>
    <w:p>
      <w:pPr>
        <w:pStyle w:val="FirstParagraph"/>
      </w:pPr>
      <w:r>
        <w:t xml:space="preserve">We track success through metrics critical to the Tokyo market: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KPI</w:t>
            </w:r>
          </w:p>
        </w:tc>
        <w:tc>
          <w:tcPr/>
          <w:p>
            <w:pPr>
              <w:pStyle w:val="Compact"/>
              <w:jc w:val="left"/>
            </w:pPr>
            <w:r>
              <w:t xml:space="preserve">Target (12 Months)</w:t>
            </w:r>
          </w:p>
        </w:tc>
      </w:tr>
      <w:tr>
        <w:tc>
          <w:tcPr/>
          <w:p>
            <w:pPr>
              <w:pStyle w:val="Compact"/>
              <w:jc w:val="left"/>
            </w:pPr>
            <w:r>
              <w:t xml:space="preserve">Qualified Applicants from Tokyo/METRO Region</w:t>
            </w:r>
          </w:p>
        </w:tc>
        <w:tc>
          <w:tcPr/>
          <w:p>
            <w:pPr>
              <w:pStyle w:val="Compact"/>
              <w:jc w:val="left"/>
            </w:pPr>
            <w:r>
              <w:t xml:space="preserve">≥ 75%</w:t>
            </w:r>
          </w:p>
        </w:tc>
      </w:tr>
      <w:tr>
        <w:tc>
          <w:tcPr/>
          <w:p>
            <w:pPr>
              <w:pStyle w:val="Compact"/>
              <w:jc w:val="left"/>
            </w:pPr>
            <w:r>
              <w:t xml:space="preserve">Japanese-Language Content Engagement Rate (LinkedIn)</w:t>
            </w:r>
          </w:p>
        </w:tc>
        <w:tc>
          <w:tcPr/>
          <w:p>
            <w:pPr>
              <w:pStyle w:val="Compact"/>
              <w:jc w:val="left"/>
            </w:pPr>
            <w:r>
              <w:t xml:space="preserve">≥ 30%</w:t>
            </w:r>
          </w:p>
        </w:tc>
      </w:tr>
      <w:tr>
        <w:tc>
          <w:tcPr/>
          <w:p>
            <w:pPr>
              <w:pStyle w:val="Compact"/>
              <w:jc w:val="left"/>
            </w:pPr>
            <w:r>
              <w:t xml:space="preserve">Candidate Interviews with Cultural Fit (vs. Skills)</w:t>
            </w:r>
          </w:p>
        </w:tc>
        <w:tc>
          <w:tcPr/>
          <w:p>
            <w:pPr>
              <w:pStyle w:val="Compact"/>
              <w:jc w:val="left"/>
            </w:pPr>
            <w:r>
              <w:t xml:space="preserve">85%+</w:t>
            </w:r>
          </w:p>
        </w:tc>
      </w:tr>
      <w:tr>
        <w:tc>
          <w:tcPr/>
          <w:p>
            <w:pPr>
              <w:pStyle w:val="Compact"/>
              <w:jc w:val="left"/>
            </w:pPr>
            <w:r>
              <w:t xml:space="preserve">Tokyo Board of Education Partnership Sign-Ups</w:t>
            </w:r>
          </w:p>
        </w:tc>
        <w:tc>
          <w:tcPr/>
          <w:p>
            <w:pPr>
              <w:pStyle w:val="Compact"/>
              <w:jc w:val="left"/>
            </w:pPr>
            <w:r>
              <w:t xml:space="preserve">5+ Institutions</w:t>
            </w:r>
          </w:p>
        </w:tc>
      </w:tr>
    </w:tbl>
    <w:bookmarkEnd w:id="27"/>
    <w:bookmarkStart w:id="28" w:name="vi.-budget-allocation-japan-tokyo-focus"/>
    <w:p>
      <w:pPr>
        <w:pStyle w:val="Heading2"/>
      </w:pPr>
      <w:r>
        <w:t xml:space="preserve">VI. Budget Allocation (Japan, Tokyo Focus)</w:t>
      </w:r>
    </w:p>
    <w:p>
      <w:pPr>
        <w:pStyle w:val="FirstParagraph"/>
      </w:pPr>
      <w:r>
        <w:t xml:space="preserve">Budget prioritizes channels proven effective in Japan:</w:t>
      </w:r>
    </w:p>
    <w:p>
      <w:pPr>
        <w:numPr>
          <w:ilvl w:val="0"/>
          <w:numId w:val="1006"/>
        </w:numPr>
        <w:pStyle w:val="Compact"/>
      </w:pPr>
      <w:r>
        <w:t xml:space="preserve">Digital Ads (LinkedIn Rikunabi): 40% – Focused on Tokyo geotargeting.</w:t>
      </w:r>
    </w:p>
    <w:p>
      <w:pPr>
        <w:numPr>
          <w:ilvl w:val="0"/>
          <w:numId w:val="1006"/>
        </w:numPr>
        <w:pStyle w:val="Compact"/>
      </w:pPr>
      <w:r>
        <w:t xml:space="preserve">Event Sponsorships (Tokyo Forums): 30% – Partnering with established education bodies.</w:t>
      </w:r>
    </w:p>
    <w:p>
      <w:pPr>
        <w:numPr>
          <w:ilvl w:val="0"/>
          <w:numId w:val="1006"/>
        </w:numPr>
        <w:pStyle w:val="Compact"/>
      </w:pPr>
      <w:r>
        <w:t xml:space="preserve">Content Localization &amp; Translation: 20% – Ensuring all materials resonate with Japanese professionals.</w:t>
      </w:r>
    </w:p>
    <w:p>
      <w:pPr>
        <w:numPr>
          <w:ilvl w:val="0"/>
          <w:numId w:val="1006"/>
        </w:numPr>
        <w:pStyle w:val="Compact"/>
      </w:pPr>
      <w:r>
        <w:t xml:space="preserve">University Partnerships: 10% – Direct engagement with Tokyo’s academic talent pipelines.</w:t>
      </w:r>
    </w:p>
    <w:bookmarkEnd w:id="28"/>
    <w:bookmarkStart w:id="29" w:name="X85ca78c1466d563ef940e5452ab955b9d04d529"/>
    <w:p>
      <w:pPr>
        <w:pStyle w:val="Heading2"/>
      </w:pPr>
      <w:r>
        <w:t xml:space="preserve">VII. Conclusion: Securing Tokyo's Educational Future</w:t>
      </w:r>
    </w:p>
    <w:p>
      <w:pPr>
        <w:pStyle w:val="FirstParagraph"/>
      </w:pPr>
      <w:r>
        <w:t xml:space="preserve">This Marketing Plan is not merely about filling a vacancy; it’s about strategically deploying the</w:t>
      </w:r>
      <w:r>
        <w:t xml:space="preserve"> </w:t>
      </w:r>
      <w:r>
        <w:rPr>
          <w:bCs/>
          <w:b/>
        </w:rPr>
        <w:t xml:space="preserve">Education Administrator</w:t>
      </w:r>
      <w:r>
        <w:t xml:space="preserve"> </w:t>
      </w:r>
      <w:r>
        <w:t xml:space="preserve">as the cornerstone of Tokyo’s educational evolution within</w:t>
      </w:r>
      <w:r>
        <w:t xml:space="preserve"> </w:t>
      </w:r>
      <w:r>
        <w:rPr>
          <w:bCs/>
          <w:b/>
        </w:rPr>
        <w:t xml:space="preserve">Japan</w:t>
      </w:r>
      <w:r>
        <w:t xml:space="preserve">. By centering cultural intelligence, leveraging Tokyo-specific institutional partnerships, and speaking directly to the unique demands of Japan's most competitive education market, this campaign ensures we attract leaders who don’t just understand Tokyo’s system—they will transform it. The success metric isn’t just a hired administrator; it’s a Tokyo school district achieving 20% higher student engagement scores within 18 months through strategic administrative leadership. In</w:t>
      </w:r>
      <w:r>
        <w:t xml:space="preserve"> </w:t>
      </w:r>
      <w:r>
        <w:rPr>
          <w:bCs/>
          <w:b/>
        </w:rPr>
        <w:t xml:space="preserve">Japan, Tokyo</w:t>
      </w:r>
      <w:r>
        <w:t xml:space="preserve">, where education is both heritage and future, the</w:t>
      </w:r>
      <w:r>
        <w:t xml:space="preserve"> </w:t>
      </w:r>
      <w:r>
        <w:rPr>
          <w:iCs/>
          <w:i/>
        </w:rPr>
        <w:t xml:space="preserve">Education Administrator</w:t>
      </w:r>
      <w:r>
        <w:t xml:space="preserve"> </w:t>
      </w:r>
      <w:r>
        <w:t xml:space="preserve">is the indispensable architect of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in Japan, Tokyo</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file>