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Solution</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8" w:name="Xb6ac57f5bc9af96305228e88784e3c88c9bedb2"/>
    <w:p>
      <w:pPr>
        <w:pStyle w:val="Heading1"/>
      </w:pPr>
      <w:r>
        <w:t xml:space="preserve">Marketing Plan: Implementing the "Education Administrator" Platform in Saint Petersburg, Russia</w:t>
      </w:r>
    </w:p>
    <w:bookmarkStart w:id="20" w:name="executive-summary"/>
    <w:p>
      <w:pPr>
        <w:pStyle w:val="Heading2"/>
      </w:pPr>
      <w:r>
        <w:t xml:space="preserve">Executive Summary</w:t>
      </w:r>
    </w:p>
    <w:p>
      <w:pPr>
        <w:pStyle w:val="FirstParagraph"/>
      </w:pPr>
      <w:r>
        <w:t xml:space="preserve">This marketing plan outlines a strategic initiative to introduce and deploy the "Education Administrator" (EA) digital platform specifically designed for educational institutions across Saint Petersburg, Russia. The EA platform is a comprehensive school management solution addressing critical inefficiencies in administrative operations, student record management, resource allocation, and compliance reporting within Russian educational frameworks. With Saint Petersburg housing over 1,200 schools and 15 major universities under the jurisdiction of the City Department of Education, there exists a significant market gap for an integrated platform compliant with Russian Federal Law on Education (No. 273-FZ) and tailored to local administrative workflows. This plan details our entry strategy, target segmentation, value proposition, and implementation roadmap focused on delivering tangible operational improvements for Saint Petersburg education administrators.</w:t>
      </w:r>
    </w:p>
    <w:bookmarkEnd w:id="20"/>
    <w:bookmarkStart w:id="21" w:name="X12840e5362f747680dcbc1b5cff4dabd3ef19b7"/>
    <w:p>
      <w:pPr>
        <w:pStyle w:val="Heading2"/>
      </w:pPr>
      <w:r>
        <w:t xml:space="preserve">Market Analysis: Saint Petersburg Educational Landscape</w:t>
      </w:r>
    </w:p>
    <w:p>
      <w:pPr>
        <w:pStyle w:val="FirstParagraph"/>
      </w:pPr>
      <w:r>
        <w:t xml:space="preserve">Saint Petersburg presents a unique and compelling market for the Education Administrator solution. As Russia's cultural capital and second-largest city, it boasts a dense concentration of schools serving diverse student populations from pre-school through tertiary education. Key challenges persist in the local system:</w:t>
      </w:r>
    </w:p>
    <w:p>
      <w:pPr>
        <w:numPr>
          <w:ilvl w:val="0"/>
          <w:numId w:val="1001"/>
        </w:numPr>
        <w:pStyle w:val="Compact"/>
      </w:pPr>
      <w:r>
        <w:rPr>
          <w:bCs/>
          <w:b/>
        </w:rPr>
        <w:t xml:space="preserve">Legacy Systems:</w:t>
      </w:r>
      <w:r>
        <w:t xml:space="preserve"> </w:t>
      </w:r>
      <w:r>
        <w:t xml:space="preserve">Over 60% of public schools rely on outdated paper-based or fragmented digital systems, leading to administrative bottlenecks and data inaccuracies.</w:t>
      </w:r>
    </w:p>
    <w:p>
      <w:pPr>
        <w:numPr>
          <w:ilvl w:val="0"/>
          <w:numId w:val="1001"/>
        </w:numPr>
        <w:pStyle w:val="Compact"/>
      </w:pPr>
      <w:r>
        <w:rPr>
          <w:bCs/>
          <w:b/>
        </w:rPr>
        <w:t xml:space="preserve">Compliance Burden:</w:t>
      </w:r>
      <w:r>
        <w:t xml:space="preserve"> </w:t>
      </w:r>
      <w:r>
        <w:t xml:space="preserve">Navigating complex Russian regulations (e.g., mandatory reporting to Rosobrnadzor, FSB data requirements) consumes significant administrator time.</w:t>
      </w:r>
    </w:p>
    <w:p>
      <w:pPr>
        <w:numPr>
          <w:ilvl w:val="0"/>
          <w:numId w:val="1001"/>
        </w:numPr>
        <w:pStyle w:val="Compact"/>
      </w:pPr>
      <w:r>
        <w:rPr>
          <w:bCs/>
          <w:b/>
        </w:rPr>
        <w:t xml:space="preserve">Resource Constraints:</w:t>
      </w:r>
      <w:r>
        <w:t xml:space="preserve"> </w:t>
      </w:r>
      <w:r>
        <w:t xml:space="preserve">Budget pressures necessitate cost-effective solutions that improve efficiency without requiring massive IT infrastructure overhauls.</w:t>
      </w:r>
    </w:p>
    <w:p>
      <w:pPr>
        <w:pStyle w:val="FirstParagraph"/>
      </w:pPr>
      <w:r>
        <w:t xml:space="preserve">The Saint Petersburg City Department of Education has recently prioritized digital transformation, allocating a dedicated budget line for school management system modernization in its 2023-2025 strategy. This creates a timely opportunity to position the EA platform as the compliant, user-friendly solution aligned with city-wide goals.</w:t>
      </w:r>
    </w:p>
    <w:bookmarkEnd w:id="21"/>
    <w:bookmarkStart w:id="22" w:name="target-audience-value-proposition"/>
    <w:p>
      <w:pPr>
        <w:pStyle w:val="Heading2"/>
      </w:pPr>
      <w:r>
        <w:t xml:space="preserve">Target Audience &amp; Value Proposition</w:t>
      </w:r>
    </w:p>
    <w:p>
      <w:pPr>
        <w:pStyle w:val="FirstParagraph"/>
      </w:pPr>
      <w:r>
        <w:t xml:space="preserve">Our primary target for the Education Administrator solution is **Saint Petersburg** education administrators, including:</w:t>
      </w:r>
    </w:p>
    <w:p>
      <w:pPr>
        <w:numPr>
          <w:ilvl w:val="0"/>
          <w:numId w:val="1002"/>
        </w:numPr>
        <w:pStyle w:val="Compact"/>
      </w:pPr>
      <w:r>
        <w:t xml:space="preserve">Headteachers and Directors of Municipal Schools (Pre-K to 11th Grade)</w:t>
      </w:r>
    </w:p>
    <w:p>
      <w:pPr>
        <w:numPr>
          <w:ilvl w:val="0"/>
          <w:numId w:val="1002"/>
        </w:numPr>
        <w:pStyle w:val="Compact"/>
      </w:pPr>
      <w:r>
        <w:t xml:space="preserve">University Administrative Staff managing student records and academic planning</w:t>
      </w:r>
    </w:p>
    <w:p>
      <w:pPr>
        <w:numPr>
          <w:ilvl w:val="0"/>
          <w:numId w:val="1002"/>
        </w:numPr>
        <w:pStyle w:val="Compact"/>
      </w:pPr>
      <w:r>
        <w:t xml:space="preserve">City Department of Education Procurement Officers responsible for system selection</w:t>
      </w:r>
    </w:p>
    <w:p>
      <w:pPr>
        <w:pStyle w:val="FirstParagraph"/>
      </w:pPr>
      <w:r>
        <w:t xml:space="preserve">The core value proposition centers on empowering **Education Administrator** roles through:</w:t>
      </w:r>
    </w:p>
    <w:p>
      <w:pPr>
        <w:numPr>
          <w:ilvl w:val="0"/>
          <w:numId w:val="1003"/>
        </w:numPr>
        <w:pStyle w:val="Compact"/>
      </w:pPr>
      <w:r>
        <w:rPr>
          <w:bCs/>
          <w:b/>
        </w:rPr>
        <w:t xml:space="preserve">Automated Compliance:</w:t>
      </w:r>
      <w:r>
        <w:t xml:space="preserve"> </w:t>
      </w:r>
      <w:r>
        <w:t xml:space="preserve">Built-in workflows ensuring adherence to Russian education laws (273-FZ), reducing audit risks and reporting time by 40%.</w:t>
      </w:r>
    </w:p>
    <w:p>
      <w:pPr>
        <w:numPr>
          <w:ilvl w:val="0"/>
          <w:numId w:val="1003"/>
        </w:numPr>
        <w:pStyle w:val="Compact"/>
      </w:pPr>
      <w:r>
        <w:rPr>
          <w:bCs/>
          <w:b/>
        </w:rPr>
        <w:t xml:space="preserve">Unified Data Hub:</w:t>
      </w:r>
      <w:r>
        <w:t xml:space="preserve"> </w:t>
      </w:r>
      <w:r>
        <w:t xml:space="preserve">Single platform replacing separate systems for attendance, grades, parent communication, and budget tracking – critical in Saint Petersburg schools where data silos are common.</w:t>
      </w:r>
    </w:p>
    <w:p>
      <w:pPr>
        <w:numPr>
          <w:ilvl w:val="0"/>
          <w:numId w:val="1003"/>
        </w:numPr>
        <w:pStyle w:val="Compact"/>
      </w:pPr>
      <w:r>
        <w:rPr>
          <w:bCs/>
          <w:b/>
        </w:rPr>
        <w:t xml:space="preserve">Localized Interface:</w:t>
      </w:r>
      <w:r>
        <w:t xml:space="preserve"> </w:t>
      </w:r>
      <w:r>
        <w:t xml:space="preserve">Fully Russian-language UI/UX with culturally relevant templates (e.g., aligning with the Saint Petersburg academic calendar, regional event scheduling).</w:t>
      </w:r>
    </w:p>
    <w:p>
      <w:pPr>
        <w:numPr>
          <w:ilvl w:val="0"/>
          <w:numId w:val="1003"/>
        </w:numPr>
        <w:pStyle w:val="Compact"/>
      </w:pPr>
      <w:r>
        <w:rPr>
          <w:bCs/>
          <w:b/>
        </w:rPr>
        <w:t xml:space="preserve">Cost Efficiency:</w:t>
      </w:r>
      <w:r>
        <w:t xml:space="preserve"> </w:t>
      </w:r>
      <w:r>
        <w:t xml:space="preserve">Cloud-based deployment minimizing IT costs for schools, offering a clear ROI within 12 months through reduced administrative hours.</w:t>
      </w:r>
    </w:p>
    <w:bookmarkEnd w:id="22"/>
    <w:bookmarkStart w:id="23" w:name="competitive-landscape-in-russia"/>
    <w:p>
      <w:pPr>
        <w:pStyle w:val="Heading2"/>
      </w:pPr>
      <w:r>
        <w:t xml:space="preserve">Competitive Landscape in Russia</w:t>
      </w:r>
    </w:p>
    <w:p>
      <w:pPr>
        <w:pStyle w:val="FirstParagraph"/>
      </w:pPr>
      <w:r>
        <w:t xml:space="preserve">The Russian market features competitors like "Shkolnyy Portal" and "Uchebnyy Menedzhment," but they lack deep Saint Petersburg-specific customization. Key differentiators for our **Education Administrator** platform include:</w:t>
      </w:r>
    </w:p>
    <w:p>
      <w:pPr>
        <w:numPr>
          <w:ilvl w:val="0"/>
          <w:numId w:val="1004"/>
        </w:numPr>
        <w:pStyle w:val="Compact"/>
      </w:pPr>
      <w:r>
        <w:rPr>
          <w:bCs/>
          <w:b/>
        </w:rPr>
        <w:t xml:space="preserve">Hyper-Local Focus:</w:t>
      </w:r>
      <w:r>
        <w:t xml:space="preserve"> </w:t>
      </w:r>
      <w:r>
        <w:t xml:space="preserve">Pre-configured settings for Saint Petersburg's education policies, including alignment with the city's "Smart City" initiative and regional inspection protocols.</w:t>
      </w:r>
    </w:p>
    <w:p>
      <w:pPr>
        <w:numPr>
          <w:ilvl w:val="0"/>
          <w:numId w:val="1004"/>
        </w:numPr>
        <w:pStyle w:val="Compact"/>
      </w:pPr>
      <w:r>
        <w:rPr>
          <w:bCs/>
          <w:b/>
        </w:rPr>
        <w:t xml:space="preserve">Seamless Integration:</w:t>
      </w:r>
      <w:r>
        <w:t xml:space="preserve"> </w:t>
      </w:r>
      <w:r>
        <w:t xml:space="preserve">Compatibility with existing Russian systems like "EduGIS" and mandatory government reporting portals (e.g., "Gosuslugi"), a critical factor often overlooked by competitors.</w:t>
      </w:r>
    </w:p>
    <w:p>
      <w:pPr>
        <w:numPr>
          <w:ilvl w:val="0"/>
          <w:numId w:val="1004"/>
        </w:numPr>
        <w:pStyle w:val="Compact"/>
      </w:pPr>
      <w:r>
        <w:rPr>
          <w:bCs/>
          <w:b/>
        </w:rPr>
        <w:t xml:space="preserve">Stakeholder Engagement:</w:t>
      </w:r>
      <w:r>
        <w:t xml:space="preserve"> </w:t>
      </w:r>
      <w:r>
        <w:t xml:space="preserve">Features like parent portal integration via popular Russian apps (Telegram, VKontakte) – essential for user adoption in Saint Petersburg communities.</w:t>
      </w:r>
    </w:p>
    <w:bookmarkEnd w:id="23"/>
    <w:bookmarkStart w:id="24" w:name="marketing-sales-strategy"/>
    <w:p>
      <w:pPr>
        <w:pStyle w:val="Heading2"/>
      </w:pPr>
      <w:r>
        <w:t xml:space="preserve">Marketing &amp; Sales Strategy</w:t>
      </w:r>
    </w:p>
    <w:p>
      <w:pPr>
        <w:pStyle w:val="FirstParagraph"/>
      </w:pPr>
      <w:r>
        <w:t xml:space="preserve">A multi-channel approach will target **Saint Petersburg** education administrators through:</w:t>
      </w:r>
    </w:p>
    <w:p>
      <w:pPr>
        <w:numPr>
          <w:ilvl w:val="0"/>
          <w:numId w:val="1005"/>
        </w:numPr>
        <w:pStyle w:val="Compact"/>
      </w:pPr>
      <w:r>
        <w:rPr>
          <w:bCs/>
          <w:b/>
        </w:rPr>
        <w:t xml:space="preserve">City Department Partnerships:</w:t>
      </w:r>
      <w:r>
        <w:t xml:space="preserve"> </w:t>
      </w:r>
      <w:r>
        <w:t xml:space="preserve">Direct engagement with the Saint Petersburg City Department of Education to secure pilot programs in 10-15 municipal schools, leveraging their influence for wider adoption.</w:t>
      </w:r>
    </w:p>
    <w:p>
      <w:pPr>
        <w:numPr>
          <w:ilvl w:val="0"/>
          <w:numId w:val="1005"/>
        </w:numPr>
        <w:pStyle w:val="Compact"/>
      </w:pPr>
      <w:r>
        <w:rPr>
          <w:bCs/>
          <w:b/>
        </w:rPr>
        <w:t xml:space="preserve">Digital Campaigns (Targeted Russia):</w:t>
      </w:r>
      <w:r>
        <w:t xml:space="preserve"> </w:t>
      </w:r>
      <w:r>
        <w:t xml:space="preserve">LinkedIn and email marketing campaigns using Russian language targeting job titles like "Директор школы" (School Director) and "Заместитель директора по УВР" (Deputy Director for Academic Affairs) across Saint Petersburg.</w:t>
      </w:r>
    </w:p>
    <w:p>
      <w:pPr>
        <w:numPr>
          <w:ilvl w:val="0"/>
          <w:numId w:val="1005"/>
        </w:numPr>
        <w:pStyle w:val="Compact"/>
      </w:pPr>
      <w:r>
        <w:rPr>
          <w:bCs/>
          <w:b/>
        </w:rPr>
        <w:t xml:space="preserve">Local Events:</w:t>
      </w:r>
      <w:r>
        <w:t xml:space="preserve"> </w:t>
      </w:r>
      <w:r>
        <w:t xml:space="preserve">Participation in the annual Saint Petersburg Education Summit and workshops at institutions like Peter the Great St. Petersburg Polytechnic University, showcasing EA's alignment with local needs.</w:t>
      </w:r>
    </w:p>
    <w:p>
      <w:pPr>
        <w:numPr>
          <w:ilvl w:val="0"/>
          <w:numId w:val="1005"/>
        </w:numPr>
        <w:pStyle w:val="Compact"/>
      </w:pPr>
      <w:r>
        <w:rPr>
          <w:bCs/>
          <w:b/>
        </w:rPr>
        <w:t xml:space="preserve">Testimonials &amp; Case Studies:</w:t>
      </w:r>
      <w:r>
        <w:t xml:space="preserve"> </w:t>
      </w:r>
      <w:r>
        <w:t xml:space="preserve">Developing success stories from pilot schools in districts like Admiralteysky or Vasilievsky Island to demonstrate real-world impact on administrative workflows.</w:t>
      </w:r>
    </w:p>
    <w:bookmarkEnd w:id="24"/>
    <w:bookmarkStart w:id="25" w:name="X6d02d272cf181c76230a6ade1379380c77cb549"/>
    <w:p>
      <w:pPr>
        <w:pStyle w:val="Heading2"/>
      </w:pPr>
      <w:r>
        <w:t xml:space="preserve">Tactics for Saint Petersburg Implementation</w:t>
      </w:r>
    </w:p>
    <w:p>
      <w:pPr>
        <w:pStyle w:val="FirstParagraph"/>
      </w:pPr>
      <w:r>
        <w:t xml:space="preserve">Success hinges on cultural and operational adaptation specific to Russia:</w:t>
      </w:r>
    </w:p>
    <w:p>
      <w:pPr>
        <w:numPr>
          <w:ilvl w:val="0"/>
          <w:numId w:val="1006"/>
        </w:numPr>
        <w:pStyle w:val="Compact"/>
      </w:pPr>
      <w:r>
        <w:rPr>
          <w:bCs/>
          <w:b/>
        </w:rPr>
        <w:t xml:space="preserve">Data Localization:</w:t>
      </w:r>
      <w:r>
        <w:t xml:space="preserve"> </w:t>
      </w:r>
      <w:r>
        <w:t xml:space="preserve">All server infrastructure housed within Russian Federation (compliance with Federal Law No. 242-FZ) – a non-negotiable requirement for Saint Petersburg institutions.</w:t>
      </w:r>
    </w:p>
    <w:p>
      <w:pPr>
        <w:numPr>
          <w:ilvl w:val="0"/>
          <w:numId w:val="1006"/>
        </w:numPr>
        <w:pStyle w:val="Compact"/>
      </w:pPr>
      <w:r>
        <w:rPr>
          <w:bCs/>
          <w:b/>
        </w:rPr>
        <w:t xml:space="preserve">Training &amp; Support:</w:t>
      </w:r>
      <w:r>
        <w:t xml:space="preserve"> </w:t>
      </w:r>
      <w:r>
        <w:t xml:space="preserve">On-site training in Saint Petersburg by Russian-speaking consultants, including weekend support hours reflecting local work culture.</w:t>
      </w:r>
    </w:p>
    <w:p>
      <w:pPr>
        <w:numPr>
          <w:ilvl w:val="0"/>
          <w:numId w:val="1006"/>
        </w:numPr>
        <w:pStyle w:val="Compact"/>
      </w:pPr>
      <w:r>
        <w:rPr>
          <w:bCs/>
          <w:b/>
        </w:rPr>
        <w:t xml:space="preserve">Pricing Model:</w:t>
      </w:r>
      <w:r>
        <w:t xml:space="preserve"> </w:t>
      </w:r>
      <w:r>
        <w:t xml:space="preserve">Tiered subscriptions based on school size (e.g., 100-500 students) with a city-wide pilot discount for initial adopters under the Department's modernization fund.</w:t>
      </w:r>
    </w:p>
    <w:bookmarkEnd w:id="25"/>
    <w:bookmarkStart w:id="26" w:name="measurement-timeline"/>
    <w:p>
      <w:pPr>
        <w:pStyle w:val="Heading2"/>
      </w:pPr>
      <w:r>
        <w:t xml:space="preserve">Measurement &amp; Timeline</w:t>
      </w:r>
    </w:p>
    <w:p>
      <w:pPr>
        <w:pStyle w:val="FirstParagraph"/>
      </w:pPr>
      <w:r>
        <w:t xml:space="preserve">We will track success through metrics vital to **Education Administrator** roles in Russia:</w:t>
      </w:r>
    </w:p>
    <w:p>
      <w:pPr>
        <w:numPr>
          <w:ilvl w:val="0"/>
          <w:numId w:val="1007"/>
        </w:numPr>
        <w:pStyle w:val="Compact"/>
      </w:pPr>
      <w:r>
        <w:rPr>
          <w:bCs/>
          <w:b/>
        </w:rPr>
        <w:t xml:space="preserve">Adoption Rate:</w:t>
      </w:r>
      <w:r>
        <w:t xml:space="preserve"> </w:t>
      </w:r>
      <w:r>
        <w:t xml:space="preserve">Secure 15 pilot schools within Saint Petersburg by Q3 2024.</w:t>
      </w:r>
    </w:p>
    <w:p>
      <w:pPr>
        <w:numPr>
          <w:ilvl w:val="0"/>
          <w:numId w:val="1007"/>
        </w:numPr>
        <w:pStyle w:val="Compact"/>
      </w:pPr>
      <w:r>
        <w:rPr>
          <w:bCs/>
          <w:b/>
        </w:rPr>
        <w:t xml:space="preserve">Efficiency Gains:</w:t>
      </w:r>
      <w:r>
        <w:t xml:space="preserve"> </w:t>
      </w:r>
      <w:r>
        <w:t xml:space="preserve">Measure reduction in time spent on compliance reporting (target: 35% average decrease).</w:t>
      </w:r>
    </w:p>
    <w:p>
      <w:pPr>
        <w:numPr>
          <w:ilvl w:val="0"/>
          <w:numId w:val="1007"/>
        </w:numPr>
        <w:pStyle w:val="Compact"/>
      </w:pPr>
      <w:r>
        <w:rPr>
          <w:bCs/>
          <w:b/>
        </w:rPr>
        <w:t xml:space="preserve">Satisfaction Score:</w:t>
      </w:r>
      <w:r>
        <w:t xml:space="preserve"> </w:t>
      </w:r>
      <w:r>
        <w:t xml:space="preserve">Achieve ≥85% NPS from Saint Petersburg administrators post-implementation.</w:t>
      </w:r>
    </w:p>
    <w:p>
      <w:pPr>
        <w:pStyle w:val="FirstParagraph"/>
      </w:pPr>
      <w:r>
        <w:t xml:space="preserve">The first year focuses on deep penetration within the **Saint Petersburg** market, followed by expansion to other major Russian cities like Moscow and Kazan using Saint Petersburg as a reference case. This city's strategic importance – as a hub for education policy influence in Western Russia – makes it the ideal launchpad for national growth.</w:t>
      </w:r>
    </w:p>
    <w:bookmarkEnd w:id="26"/>
    <w:bookmarkStart w:id="27" w:name="conclusion"/>
    <w:p>
      <w:pPr>
        <w:pStyle w:val="Heading2"/>
      </w:pPr>
      <w:r>
        <w:t xml:space="preserve">Conclusion</w:t>
      </w:r>
    </w:p>
    <w:p>
      <w:pPr>
        <w:pStyle w:val="FirstParagraph"/>
      </w:pPr>
      <w:r>
        <w:t xml:space="preserve">The "Education Administrator" platform is not merely software; it is the key to operational excellence for **Saint Petersburg**'s educational leaders navigating Russia's evolving regulatory and pedagogical landscape. By delivering a solution engineered specifically for local administrative needs, compliant with Russian law, and proven effective in Saint Petersburg's unique context, we position ourselves as the indispensable partner for modernizing education management across the city. This plan ensures that every marketing effort resonates with the priorities of **Education Administrator** professionals in **Russia Saint Petersburg**, driving measurable impact on their daily operations and strategic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Solution for Saint Petersburg, Russia</dc:title>
  <dc:creator/>
  <dc:language>en</dc:language>
  <cp:keywords/>
  <dcterms:created xsi:type="dcterms:W3CDTF">2025-12-10T10:33:20Z</dcterms:created>
  <dcterms:modified xsi:type="dcterms:W3CDTF">2025-12-10T10:33:20Z</dcterms:modified>
</cp:coreProperties>
</file>

<file path=docProps/custom.xml><?xml version="1.0" encoding="utf-8"?>
<Properties xmlns="http://schemas.openxmlformats.org/officeDocument/2006/custom-properties" xmlns:vt="http://schemas.openxmlformats.org/officeDocument/2006/docPropsVTypes"/>
</file>