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42e5a2942e9bde161b6302db97aeac48c41f147"/>
    <w:p>
      <w:pPr>
        <w:pStyle w:val="Heading1"/>
      </w:pPr>
      <w:r>
        <w:t xml:space="preserve">Strategic Marketing Plan for Electrical Engineering Services in Medellín, Colombia</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electrical engineering services in the dynamic urban landscape of Colombia Medellín. As one of Latin America's fastest-growing metropolitan hubs, Medellín presents significant opportunities for specialized electrical engineering solutions driven by infrastructure development, industrial expansion, and increasing energy demands. This plan details how our Electrical Engineer consultancy will position itself as the premier technical partner for commercial, residential and municipal projects across Medellín's diverse sectors including construction firms, manufacturing industries, and public utilities. We project capturing 15% market share within three years through localized expertise in Colombia's regulatory environment and community-centric service delivery.</w:t>
      </w:r>
    </w:p>
    <w:bookmarkEnd w:id="20"/>
    <w:bookmarkStart w:id="21" w:name="Xbb2933358360ece5bdd1e8724bcc0d75b37849b"/>
    <w:p>
      <w:pPr>
        <w:pStyle w:val="Heading2"/>
      </w:pPr>
      <w:r>
        <w:t xml:space="preserve">Market Analysis: Colombia Medellín Context</w:t>
      </w:r>
    </w:p>
    <w:p>
      <w:pPr>
        <w:pStyle w:val="FirstParagraph"/>
      </w:pPr>
      <w:r>
        <w:t xml:space="preserve">Medellín's economic transformation has created unprecedented demand for electrical engineering services. With over 2.5 million residents and a 4.3% annual GDP growth rate, the city is undergoing massive infrastructure renewal under initiatives like "Medellín Inteligente" and "Energía para Todos." Key trends include:</w:t>
      </w:r>
    </w:p>
    <w:p>
      <w:pPr>
        <w:numPr>
          <w:ilvl w:val="0"/>
          <w:numId w:val="1001"/>
        </w:numPr>
        <w:pStyle w:val="Compact"/>
      </w:pPr>
      <w:r>
        <w:t xml:space="preserve">58% increase in construction permits since 2020 (INDEC data)</w:t>
      </w:r>
    </w:p>
    <w:p>
      <w:pPr>
        <w:numPr>
          <w:ilvl w:val="0"/>
          <w:numId w:val="1001"/>
        </w:numPr>
        <w:pStyle w:val="Compact"/>
      </w:pPr>
      <w:r>
        <w:t xml:space="preserve">Government investment of $3.2 billion in electrical grid modernization through 2025</w:t>
      </w:r>
    </w:p>
    <w:p>
      <w:pPr>
        <w:numPr>
          <w:ilvl w:val="0"/>
          <w:numId w:val="1001"/>
        </w:numPr>
        <w:pStyle w:val="Compact"/>
      </w:pPr>
      <w:r>
        <w:t xml:space="preserve">Rising demand for renewable energy integration (solar installations up 74% YoY)</w:t>
      </w:r>
    </w:p>
    <w:p>
      <w:pPr>
        <w:numPr>
          <w:ilvl w:val="0"/>
          <w:numId w:val="1001"/>
        </w:numPr>
        <w:pStyle w:val="Compact"/>
      </w:pPr>
      <w:r>
        <w:t xml:space="preserve">Critical need for fire safety and emergency power systems in high-rise developments</w:t>
      </w:r>
    </w:p>
    <w:p>
      <w:pPr>
        <w:pStyle w:val="FirstParagraph"/>
      </w:pPr>
      <w:r>
        <w:t xml:space="preserve">The market remains fragmented with only 12% of electrical engineering firms possessing ISO 9001 certification, creating opportunity for a premium service provider. Crucially, local clients prioritize Spanish-speaking engineers with deep understanding of Colombia's technical standards (NOM-035-SEDE) and Medellín-specific challenges like altitude-related equipment performance and seismic considerations.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Electrical Engineer services in Colombia Medellín:</w:t>
      </w:r>
    </w:p>
    <w:p>
      <w:pPr>
        <w:numPr>
          <w:ilvl w:val="0"/>
          <w:numId w:val="1002"/>
        </w:numPr>
        <w:pStyle w:val="Compact"/>
      </w:pPr>
      <w:r>
        <w:rPr>
          <w:bCs/>
          <w:b/>
        </w:rPr>
        <w:t xml:space="preserve">Construction Developers:</w:t>
      </w:r>
      <w:r>
        <w:t xml:space="preserve"> </w:t>
      </w:r>
      <w:r>
        <w:t xml:space="preserve">Major firms like Punto Fijo and EPM-Infra requiring turnkey electrical design for new residential/commercial towers in the "Corredor del Río" district</w:t>
      </w:r>
    </w:p>
    <w:p>
      <w:pPr>
        <w:numPr>
          <w:ilvl w:val="0"/>
          <w:numId w:val="1002"/>
        </w:numPr>
        <w:pStyle w:val="Compact"/>
      </w:pPr>
      <w:r>
        <w:rPr>
          <w:bCs/>
          <w:b/>
        </w:rPr>
        <w:t xml:space="preserve">Industrial Manufacturers:</w:t>
      </w:r>
      <w:r>
        <w:t xml:space="preserve"> </w:t>
      </w:r>
      <w:r>
        <w:t xml:space="preserve">Food processing plants (e.g., Grupo Nutresa) and textile factories needing energy efficiency audits to comply with Colombia's 2023 Energy Efficiency Law</w:t>
      </w:r>
    </w:p>
    <w:p>
      <w:pPr>
        <w:numPr>
          <w:ilvl w:val="0"/>
          <w:numId w:val="1002"/>
        </w:numPr>
        <w:pStyle w:val="Compact"/>
      </w:pPr>
      <w:r>
        <w:rPr>
          <w:bCs/>
          <w:b/>
        </w:rPr>
        <w:t xml:space="preserve">Municipal Authorities:</w:t>
      </w:r>
      <w:r>
        <w:t xml:space="preserve"> </w:t>
      </w:r>
      <w:r>
        <w:t xml:space="preserve">Medellín City Council departments managing public lighting upgrades and renewable microgrid projects in underserved comunas</w:t>
      </w:r>
    </w:p>
    <w:bookmarkEnd w:id="22"/>
    <w:bookmarkStart w:id="23" w:name="competitive-differentiation-strategy"/>
    <w:p>
      <w:pPr>
        <w:pStyle w:val="Heading2"/>
      </w:pPr>
      <w:r>
        <w:t xml:space="preserve">Competitive Differentiation Strategy</w:t>
      </w:r>
    </w:p>
    <w:p>
      <w:pPr>
        <w:pStyle w:val="FirstParagraph"/>
      </w:pPr>
      <w:r>
        <w:t xml:space="preserve">Our Electrical Engineer service uniquely combines technical excellence with Medellín-specific market intelligence. While competitors focus on basic compliance, we differentiate through:</w:t>
      </w:r>
    </w:p>
    <w:p>
      <w:pPr>
        <w:numPr>
          <w:ilvl w:val="0"/>
          <w:numId w:val="1003"/>
        </w:numPr>
        <w:pStyle w:val="Compact"/>
      </w:pPr>
      <w:r>
        <w:rPr>
          <w:bCs/>
          <w:b/>
        </w:rPr>
        <w:t xml:space="preserve">Local Regulatory Mastery:</w:t>
      </w:r>
      <w:r>
        <w:t xml:space="preserve"> </w:t>
      </w:r>
      <w:r>
        <w:t xml:space="preserve">In-house experts certified by the Colombian Ministry of Mines and Energy (MME) who navigate municipal permits in Medellín faster than national firms</w:t>
      </w:r>
    </w:p>
    <w:p>
      <w:pPr>
        <w:numPr>
          <w:ilvl w:val="0"/>
          <w:numId w:val="1003"/>
        </w:numPr>
        <w:pStyle w:val="Compact"/>
      </w:pPr>
      <w:r>
        <w:rPr>
          <w:bCs/>
          <w:b/>
        </w:rPr>
        <w:t xml:space="preserve">Community-Integrated Projects:</w:t>
      </w:r>
      <w:r>
        <w:t xml:space="preserve"> </w:t>
      </w:r>
      <w:r>
        <w:t xml:space="preserve">Co-designing solutions with neighborhood associations for public infrastructure projects, increasing community buy-in</w:t>
      </w:r>
    </w:p>
    <w:p>
      <w:pPr>
        <w:numPr>
          <w:ilvl w:val="0"/>
          <w:numId w:val="1003"/>
        </w:numPr>
        <w:pStyle w:val="Compact"/>
      </w:pPr>
      <w:r>
        <w:rPr>
          <w:bCs/>
          <w:b/>
        </w:rPr>
        <w:t xml:space="preserve">Climate-Adaptive Engineering:</w:t>
      </w:r>
      <w:r>
        <w:t xml:space="preserve"> </w:t>
      </w:r>
      <w:r>
        <w:t xml:space="preserve">Specialized expertise in tropical humidity effects on electrical systems (critical for Medellín's 25°C average temperature and 1900mm annual rainfall)</w:t>
      </w:r>
    </w:p>
    <w:bookmarkEnd w:id="23"/>
    <w:bookmarkStart w:id="24" w:name="marketing-objectives-year-1"/>
    <w:p>
      <w:pPr>
        <w:pStyle w:val="Heading2"/>
      </w:pPr>
      <w:r>
        <w:t xml:space="preserve">Marketing Objectives (Year 1)</w:t>
      </w:r>
    </w:p>
    <w:p>
      <w:pPr>
        <w:pStyle w:val="FirstParagraph"/>
      </w:pPr>
      <w:r>
        <w:t xml:space="preserve">We will achieve the following measurable goals within the first year of operations in Colombia Medellín:</w:t>
      </w:r>
    </w:p>
    <w:p>
      <w:pPr>
        <w:numPr>
          <w:ilvl w:val="0"/>
          <w:numId w:val="1004"/>
        </w:numPr>
        <w:pStyle w:val="Compact"/>
      </w:pPr>
      <w:r>
        <w:t xml:space="preserve">Secure 35+ contracts with local construction firms, including 5 major developers</w:t>
      </w:r>
    </w:p>
    <w:p>
      <w:pPr>
        <w:numPr>
          <w:ilvl w:val="0"/>
          <w:numId w:val="1004"/>
        </w:numPr>
        <w:pStyle w:val="Compact"/>
      </w:pPr>
      <w:r>
        <w:t xml:space="preserve">Attain 40% brand recognition among Medellín engineering procurement managers</w:t>
      </w:r>
    </w:p>
    <w:p>
      <w:pPr>
        <w:numPr>
          <w:ilvl w:val="0"/>
          <w:numId w:val="1004"/>
        </w:numPr>
        <w:pStyle w:val="Compact"/>
      </w:pPr>
      <w:r>
        <w:t xml:space="preserve">Generate $210,000 in revenue from municipal projects (targeting EPM and Alcaldía)</w:t>
      </w:r>
    </w:p>
    <w:p>
      <w:pPr>
        <w:numPr>
          <w:ilvl w:val="0"/>
          <w:numId w:val="1004"/>
        </w:numPr>
        <w:pStyle w:val="Compact"/>
      </w:pPr>
      <w:r>
        <w:t xml:space="preserve">Reduce client acquisition cost by 25% versus industry average through community referrals</w:t>
      </w:r>
    </w:p>
    <w:bookmarkEnd w:id="24"/>
    <w:bookmarkStart w:id="28" w:name="tactical-implementation-plan"/>
    <w:p>
      <w:pPr>
        <w:pStyle w:val="Heading2"/>
      </w:pPr>
      <w:r>
        <w:t xml:space="preserve">Tactical Implementation Plan</w:t>
      </w:r>
    </w:p>
    <w:p>
      <w:pPr>
        <w:pStyle w:val="FirstParagraph"/>
      </w:pPr>
      <w:r>
        <w:t xml:space="preserve">Our Marketing Plan executes through three integrated channels focused on Medellín's business ecosystem:</w:t>
      </w:r>
    </w:p>
    <w:bookmarkStart w:id="25" w:name="community-centric-digital-presence"/>
    <w:p>
      <w:pPr>
        <w:pStyle w:val="Heading3"/>
      </w:pPr>
      <w:r>
        <w:t xml:space="preserve">1. Community-Centric Digital Presence</w:t>
      </w:r>
    </w:p>
    <w:p>
      <w:pPr>
        <w:pStyle w:val="FirstParagraph"/>
      </w:pPr>
      <w:r>
        <w:t xml:space="preserve">Developing a Spanish-language website with Medellín-specific case studies (e.g., "Electrical Renovation of Comuna 12 Social Housing Project") and SEO optimized for keywords like "ingeniero eléctrico Medellín" and "diseño eléctrico certificado Colombia." We'll partner with local media outlets like</w:t>
      </w:r>
      <w:r>
        <w:t xml:space="preserve"> </w:t>
      </w:r>
      <w:r>
        <w:rPr>
          <w:iCs/>
          <w:i/>
        </w:rPr>
        <w:t xml:space="preserve">El Colombiano</w:t>
      </w:r>
      <w:r>
        <w:t xml:space="preserve"> </w:t>
      </w:r>
      <w:r>
        <w:t xml:space="preserve">for technical articles on energy efficiency in Medellín's microclimates.</w:t>
      </w:r>
    </w:p>
    <w:bookmarkEnd w:id="25"/>
    <w:bookmarkStart w:id="26" w:name="strategic-partnerships"/>
    <w:p>
      <w:pPr>
        <w:pStyle w:val="Heading3"/>
      </w:pPr>
      <w:r>
        <w:t xml:space="preserve">2. Strategic Partnerships</w:t>
      </w:r>
    </w:p>
    <w:p>
      <w:pPr>
        <w:pStyle w:val="FirstParagraph"/>
      </w:pPr>
      <w:r>
        <w:t xml:space="preserve">Collaborating with key stakeholders including:</w:t>
      </w:r>
      <w:r>
        <w:t xml:space="preserve"> </w:t>
      </w:r>
      <w:r>
        <w:t xml:space="preserve">• Medellín Chamber of Commerce (providing exclusive access to construction sector leads)</w:t>
      </w:r>
      <w:r>
        <w:t xml:space="preserve"> </w:t>
      </w:r>
      <w:r>
        <w:t xml:space="preserve">• Universidad EAFIT Engineering Department (co-hosting workshops on Colombia's new electrical codes)</w:t>
      </w:r>
      <w:r>
        <w:t xml:space="preserve"> </w:t>
      </w:r>
      <w:r>
        <w:t xml:space="preserve">• EPM (Electrical Power Company) for joint municipal project bids</w:t>
      </w:r>
    </w:p>
    <w:bookmarkEnd w:id="26"/>
    <w:bookmarkStart w:id="27" w:name="localized-networking-strategy"/>
    <w:p>
      <w:pPr>
        <w:pStyle w:val="Heading3"/>
      </w:pPr>
      <w:r>
        <w:t xml:space="preserve">3. Localized Networking Strategy</w:t>
      </w:r>
    </w:p>
    <w:p>
      <w:pPr>
        <w:pStyle w:val="FirstParagraph"/>
      </w:pPr>
      <w:r>
        <w:t xml:space="preserve">Hosting quarterly "Solutions Circles" in Medellín neighborhoods:</w:t>
      </w:r>
      <w:r>
        <w:t xml:space="preserve"> </w:t>
      </w:r>
      <w:r>
        <w:t xml:space="preserve">• Monthly technical breakfasts at Parque Arví with construction managers</w:t>
      </w:r>
      <w:r>
        <w:t xml:space="preserve"> </w:t>
      </w:r>
      <w:r>
        <w:t xml:space="preserve">• Free energy audits for community centers to build trust (e.g., Laureles neighborhood)</w:t>
      </w:r>
      <w:r>
        <w:t xml:space="preserve"> </w:t>
      </w:r>
      <w:r>
        <w:t xml:space="preserve">• Participation in Medellín's annual "Ingeniería en Acción" conference</w:t>
      </w:r>
    </w:p>
    <w:bookmarkEnd w:id="27"/>
    <w:bookmarkEnd w:id="28"/>
    <w:bookmarkStart w:id="29" w:name="resource-allocation-budget"/>
    <w:p>
      <w:pPr>
        <w:pStyle w:val="Heading2"/>
      </w:pPr>
      <w:r>
        <w:t xml:space="preserve">Resource Allocation &amp; Budget</w:t>
      </w:r>
    </w:p>
    <w:p>
      <w:pPr>
        <w:pStyle w:val="FirstParagraph"/>
      </w:pPr>
      <w:r>
        <w:t xml:space="preserve">Initial investment of $68,000 focused on Medellín-specific activities:</w:t>
      </w:r>
    </w:p>
    <w:p>
      <w:pPr>
        <w:numPr>
          <w:ilvl w:val="0"/>
          <w:numId w:val="1005"/>
        </w:numPr>
        <w:pStyle w:val="Compact"/>
      </w:pPr>
      <w:r>
        <w:t xml:space="preserve">55%: Community engagement (events, materials in local dialects)</w:t>
      </w:r>
    </w:p>
    <w:p>
      <w:pPr>
        <w:numPr>
          <w:ilvl w:val="0"/>
          <w:numId w:val="1005"/>
        </w:numPr>
        <w:pStyle w:val="Compact"/>
      </w:pPr>
      <w:r>
        <w:t xml:space="preserve">25%: Digital marketing targeting Medellín IP ranges</w:t>
      </w:r>
    </w:p>
    <w:p>
      <w:pPr>
        <w:numPr>
          <w:ilvl w:val="0"/>
          <w:numId w:val="1005"/>
        </w:numPr>
        <w:pStyle w:val="Compact"/>
      </w:pPr>
      <w:r>
        <w:t xml:space="preserve">15%: Partnership development with EPM and municipal offices</w:t>
      </w:r>
    </w:p>
    <w:p>
      <w:pPr>
        <w:numPr>
          <w:ilvl w:val="0"/>
          <w:numId w:val="1005"/>
        </w:numPr>
        <w:pStyle w:val="Compact"/>
      </w:pPr>
      <w:r>
        <w:t xml:space="preserve">05%: Contingency for rapid response to Medellín-specific emergencies (e.g., grid outages)</w:t>
      </w:r>
    </w:p>
    <w:bookmarkEnd w:id="29"/>
    <w:bookmarkStart w:id="30" w:name="measurement-framework"/>
    <w:p>
      <w:pPr>
        <w:pStyle w:val="Heading2"/>
      </w:pPr>
      <w:r>
        <w:t xml:space="preserve">Measurement Framework</w:t>
      </w:r>
    </w:p>
    <w:p>
      <w:pPr>
        <w:pStyle w:val="FirstParagraph"/>
      </w:pPr>
      <w:r>
        <w:t xml:space="preserve">We will track success through Colombia Medellín-specific KPIs:</w:t>
      </w:r>
      <w:r>
        <w:t xml:space="preserve"> </w:t>
      </w:r>
      <w:r>
        <w:t xml:space="preserve">•</w:t>
      </w:r>
      <w:r>
        <w:t xml:space="preserve"> </w:t>
      </w:r>
      <w:r>
        <w:rPr>
          <w:bCs/>
          <w:b/>
        </w:rPr>
        <w:t xml:space="preserve">Local Market Penetration:</w:t>
      </w:r>
      <w:r>
        <w:t xml:space="preserve"> </w:t>
      </w:r>
      <w:r>
        <w:t xml:space="preserve">% of contracts won from Medellín-based companies</w:t>
      </w:r>
      <w:r>
        <w:t xml:space="preserve"> </w:t>
      </w:r>
      <w:r>
        <w:t xml:space="preserve">•</w:t>
      </w:r>
      <w:r>
        <w:t xml:space="preserve"> </w:t>
      </w:r>
      <w:r>
        <w:rPr>
          <w:bCs/>
          <w:b/>
        </w:rPr>
        <w:t xml:space="preserve">Regulatory Speed Index:</w:t>
      </w:r>
      <w:r>
        <w:t xml:space="preserve"> </w:t>
      </w:r>
      <w:r>
        <w:t xml:space="preserve">Average days to secure permits in Medellín vs. competitors</w:t>
      </w:r>
      <w:r>
        <w:t xml:space="preserve"> </w:t>
      </w:r>
      <w:r>
        <w:t xml:space="preserve">•</w:t>
      </w:r>
      <w:r>
        <w:t xml:space="preserve"> </w:t>
      </w:r>
      <w:r>
        <w:rPr>
          <w:bCs/>
          <w:b/>
        </w:rPr>
        <w:t xml:space="preserve">Cultural Alignment Score:</w:t>
      </w:r>
      <w:r>
        <w:t xml:space="preserve"> </w:t>
      </w:r>
      <w:r>
        <w:t xml:space="preserve">Client satisfaction on "understanding local context" (measured via post-project surveys)</w:t>
      </w:r>
      <w:r>
        <w:t xml:space="preserve"> </w:t>
      </w:r>
      <w:r>
        <w:t xml:space="preserve">•</w:t>
      </w:r>
      <w:r>
        <w:t xml:space="preserve"> </w:t>
      </w:r>
      <w:r>
        <w:rPr>
          <w:bCs/>
          <w:b/>
        </w:rPr>
        <w:t xml:space="preserve">Municipal Project Pipeline Value:</w:t>
      </w:r>
      <w:r>
        <w:t xml:space="preserve"> </w:t>
      </w:r>
      <w:r>
        <w:t xml:space="preserve">Total value of confirmed public works contracts</w:t>
      </w:r>
    </w:p>
    <w:bookmarkEnd w:id="30"/>
    <w:bookmarkStart w:id="31" w:name="conclusion-engineering-medellíns-future"/>
    <w:p>
      <w:pPr>
        <w:pStyle w:val="Heading2"/>
      </w:pPr>
      <w:r>
        <w:t xml:space="preserve">Conclusion: Engineering Medellín's Future</w:t>
      </w:r>
    </w:p>
    <w:p>
      <w:pPr>
        <w:pStyle w:val="FirstParagraph"/>
      </w:pPr>
      <w:r>
        <w:t xml:space="preserve">This Marketing Plan positions our Electrical Engineer services as indispensable to Colombia Medellín's development trajectory. By embedding ourselves within the city's technical and social fabric, we move beyond transactional service delivery to become trusted partners in Medellín's sustainable growth. We recognize that successful electrical engineering in this vibrant Colombian metropolis requires more than technical skill—it demands intimate understanding of local topography, regulatory nuances, and community needs. As Medellín continues its remarkable transformation from "most dangerous city" to "innovation capital," our specialized Electrical Engineer services will be pivotal in powering its next chapter of prosperity. This plan ensures we deliver measurable value while advancing Colombia's energy modernization goals through hyper-localized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Medellín, Colombia</dc:title>
  <dc:creator/>
  <dc:language>en</dc:language>
  <cp:keywords/>
  <dcterms:created xsi:type="dcterms:W3CDTF">2025-12-16T08:43:18Z</dcterms:created>
  <dcterms:modified xsi:type="dcterms:W3CDTF">2025-12-16T08:43:18Z</dcterms:modified>
</cp:coreProperties>
</file>

<file path=docProps/custom.xml><?xml version="1.0" encoding="utf-8"?>
<Properties xmlns="http://schemas.openxmlformats.org/officeDocument/2006/custom-properties" xmlns:vt="http://schemas.openxmlformats.org/officeDocument/2006/docPropsVTypes"/>
</file>