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30a31d187cdac2f82018c1e5722e3c4dd302d8a"/>
    <w:p>
      <w:pPr>
        <w:pStyle w:val="Heading1"/>
      </w:pPr>
      <w:r>
        <w:t xml:space="preserve">Comprehensive Marketing Plan for Electrical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specializing in advanced power systems, renewable energy integration, and smart grid solutions across Tehran, Iran. As the capital city of Iran experiences rapid urbanization and industrial expansion, demand for specialized Electrical Engineer services is surging. This plan details market entry tactics targeting commercial developers, municipal authorities, and industrial complexes to capture 15% market share within three years. Our unique value proposition combines Iranian engineering expertise with international standards compliance (IEC, IEEE), tailored to Tehran's specific infrastructure challenges.</w:t>
      </w:r>
    </w:p>
    <w:bookmarkEnd w:id="20"/>
    <w:bookmarkStart w:id="21" w:name="Xe9339d671045589634434b4ace5d11ec4123c3d"/>
    <w:p>
      <w:pPr>
        <w:pStyle w:val="Heading2"/>
      </w:pPr>
      <w:r>
        <w:t xml:space="preserve">Situation Analysis: Tehran's Electrical Engineering Landscape</w:t>
      </w:r>
    </w:p>
    <w:p>
      <w:pPr>
        <w:pStyle w:val="FirstParagraph"/>
      </w:pPr>
      <w:r>
        <w:t xml:space="preserve">Tehran's energy sector faces critical pressures from a 70% population growth over two decades, aging grid infrastructure, and government-mandated renewable energy targets (30% by 2030). According to the Iranian Ministry of Energy, Tehran requires $12 billion in electrical infrastructure upgrades by 2025. Key challenges include frequent power fluctuations during peak demand (affecting 45% of commercial properties) and limited technical capacity among local contractors. This creates an urgent market need for certified Electrical Engineer professionals who understand both Iranian regulatory frameworks and global best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of target):</w:t>
      </w:r>
      <w:r>
        <w:t xml:space="preserve"> </w:t>
      </w:r>
      <w:r>
        <w:t xml:space="preserve">Tehran Municipality, Energy Ministry departments requiring grid modernization projects. Priority: Cost-effective solutions for public infrastructure renewal.</w:t>
      </w:r>
    </w:p>
    <w:p>
      <w:pPr>
        <w:numPr>
          <w:ilvl w:val="0"/>
          <w:numId w:val="1001"/>
        </w:numPr>
        <w:pStyle w:val="Compact"/>
      </w:pPr>
      <w:r>
        <w:rPr>
          <w:bCs/>
          <w:b/>
        </w:rPr>
        <w:t xml:space="preserve">Commercial Developers (30%):</w:t>
      </w:r>
      <w:r>
        <w:t xml:space="preserve"> </w:t>
      </w:r>
      <w:r>
        <w:t xml:space="preserve">Real estate firms building high-rises and complexes needing energy-efficient electrical systems compliant with Iran's new Green Building Code (2023).</w:t>
      </w:r>
    </w:p>
    <w:p>
      <w:pPr>
        <w:numPr>
          <w:ilvl w:val="0"/>
          <w:numId w:val="1001"/>
        </w:numPr>
        <w:pStyle w:val="Compact"/>
      </w:pPr>
      <w:r>
        <w:rPr>
          <w:bCs/>
          <w:b/>
        </w:rPr>
        <w:t xml:space="preserve">Industrial Complexes (25%):</w:t>
      </w:r>
      <w:r>
        <w:t xml:space="preserve"> </w:t>
      </w:r>
      <w:r>
        <w:t xml:space="preserve">Manufacturing zones in Tehran-Karaj corridor requiring heavy industrial electrical engineering for automation and safety compliance.</w:t>
      </w:r>
    </w:p>
    <w:p>
      <w:pPr>
        <w:numPr>
          <w:ilvl w:val="0"/>
          <w:numId w:val="1001"/>
        </w:numPr>
        <w:pStyle w:val="Compact"/>
      </w:pPr>
      <w:r>
        <w:rPr>
          <w:bCs/>
          <w:b/>
        </w:rPr>
        <w:t xml:space="preserve">Renewable Energy Startups (10%):</w:t>
      </w:r>
      <w:r>
        <w:t xml:space="preserve"> </w:t>
      </w:r>
      <w:r>
        <w:t xml:space="preserve">Emerging solar/wind firms needing Electrical Engineer support for grid integration and certification.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 signed contracts with Tehran-based clients by Year 1</w:t>
      </w:r>
    </w:p>
    <w:p>
      <w:pPr>
        <w:numPr>
          <w:ilvl w:val="0"/>
          <w:numId w:val="1002"/>
        </w:numPr>
        <w:pStyle w:val="Compact"/>
      </w:pPr>
      <w:r>
        <w:t xml:space="preserve">Attain 75% brand recognition among Tehran's engineering firms by Year 2</w:t>
      </w:r>
    </w:p>
    <w:p>
      <w:pPr>
        <w:numPr>
          <w:ilvl w:val="0"/>
          <w:numId w:val="1002"/>
        </w:numPr>
        <w:pStyle w:val="Compact"/>
      </w:pPr>
      <w:r>
        <w:t xml:space="preserve">Secure government certification as "Preferred Electrical Engineer Partner" for Tehran Energy Projects (Year 3)</w:t>
      </w:r>
    </w:p>
    <w:p>
      <w:pPr>
        <w:numPr>
          <w:ilvl w:val="0"/>
          <w:numId w:val="1002"/>
        </w:numPr>
        <w:pStyle w:val="Compact"/>
      </w:pPr>
      <w:r>
        <w:t xml:space="preserve">Generate $1.8M in annual revenue by Year 3</w:t>
      </w:r>
    </w:p>
    <w:bookmarkEnd w:id="23"/>
    <w:bookmarkStart w:id="28" w:name="core-marketing-strategies-tactics"/>
    <w:p>
      <w:pPr>
        <w:pStyle w:val="Heading2"/>
      </w:pPr>
      <w:r>
        <w:t xml:space="preserve">Core Marketing Strategies &amp; Tactics</w:t>
      </w:r>
    </w:p>
    <w:bookmarkStart w:id="24" w:name="localized-service-positioning"/>
    <w:p>
      <w:pPr>
        <w:pStyle w:val="Heading3"/>
      </w:pPr>
      <w:r>
        <w:t xml:space="preserve">1. Localized Service Positioning</w:t>
      </w:r>
    </w:p>
    <w:p>
      <w:pPr>
        <w:pStyle w:val="FirstParagraph"/>
      </w:pPr>
      <w:r>
        <w:t xml:space="preserve">We position our Electrical Engineer team as the bridge between Iranian regulatory requirements and international engineering excellence. All marketing materials explicitly highlight Tehran-specific expertise: "Electrical Engineer Solutions Designed for Tehran's Climate, Grid, and Compliance Needs." We develop case studies featuring successful projects in Tehran neighborhoods (e.g., Shemiranat solar integration, Velenjak industrial automation) to demonstrate hyper-local relevance.</w:t>
      </w:r>
    </w:p>
    <w:bookmarkEnd w:id="24"/>
    <w:bookmarkStart w:id="25" w:name="digital-marketing-campaigns"/>
    <w:p>
      <w:pPr>
        <w:pStyle w:val="Heading3"/>
      </w:pPr>
      <w:r>
        <w:t xml:space="preserve">2. Digital Marketing Campaigns</w:t>
      </w:r>
    </w:p>
    <w:p>
      <w:pPr>
        <w:pStyle w:val="FirstParagraph"/>
      </w:pPr>
      <w:r>
        <w:t xml:space="preserve">Targeted Google Ads and LinkedIn campaigns will focus on Tehran-based keywords: "electrical engineer Tehran," "power grid modernization Iran," and "renewable energy consultant Tehran." Content strategy includes:</w:t>
      </w:r>
    </w:p>
    <w:p>
      <w:pPr>
        <w:numPr>
          <w:ilvl w:val="0"/>
          <w:numId w:val="1003"/>
        </w:numPr>
        <w:pStyle w:val="Compact"/>
      </w:pPr>
      <w:r>
        <w:t xml:space="preserve">Free webinars addressing Tehran-specific issues (e.g., "Managing Power Fluctuations in Downtown Tehran Office Buildings")</w:t>
      </w:r>
    </w:p>
    <w:p>
      <w:pPr>
        <w:numPr>
          <w:ilvl w:val="0"/>
          <w:numId w:val="1003"/>
        </w:numPr>
        <w:pStyle w:val="Compact"/>
      </w:pPr>
      <w:r>
        <w:t xml:space="preserve">Tehran-focused blog series: "5 Electrical Challenges Every Business Faces in Iran's Capital"</w:t>
      </w:r>
    </w:p>
    <w:p>
      <w:pPr>
        <w:numPr>
          <w:ilvl w:val="0"/>
          <w:numId w:val="1003"/>
        </w:numPr>
        <w:pStyle w:val="Compact"/>
      </w:pPr>
      <w:r>
        <w:t xml:space="preserve">Geo-targeted social media ads showcasing our office location in Tehran’s Technology Park</w:t>
      </w:r>
    </w:p>
    <w:bookmarkEnd w:id="25"/>
    <w:bookmarkStart w:id="26" w:name="strategic-partnerships"/>
    <w:p>
      <w:pPr>
        <w:pStyle w:val="Heading3"/>
      </w:pPr>
      <w:r>
        <w:t xml:space="preserve">3. Strategic Partnerships</w:t>
      </w:r>
    </w:p>
    <w:p>
      <w:pPr>
        <w:pStyle w:val="FirstParagraph"/>
      </w:pPr>
      <w:r>
        <w:t xml:space="preserve">Forge alliances with Tehran-based entities to amplify credibility:</w:t>
      </w:r>
    </w:p>
    <w:p>
      <w:pPr>
        <w:numPr>
          <w:ilvl w:val="0"/>
          <w:numId w:val="1004"/>
        </w:numPr>
        <w:pStyle w:val="Compact"/>
      </w:pPr>
      <w:r>
        <w:rPr>
          <w:iCs/>
          <w:i/>
        </w:rPr>
        <w:t xml:space="preserve">Tehran Chamber of Commerce:</w:t>
      </w:r>
      <w:r>
        <w:t xml:space="preserve"> </w:t>
      </w:r>
      <w:r>
        <w:t xml:space="preserve">Co-hosting technical workshops on electrical safety regulations</w:t>
      </w:r>
    </w:p>
    <w:p>
      <w:pPr>
        <w:numPr>
          <w:ilvl w:val="0"/>
          <w:numId w:val="1004"/>
        </w:numPr>
        <w:pStyle w:val="Compact"/>
      </w:pPr>
      <w:r>
        <w:rPr>
          <w:iCs/>
          <w:i/>
        </w:rPr>
        <w:t xml:space="preserve">Sharif University of Technology:</w:t>
      </w:r>
      <w:r>
        <w:t xml:space="preserve"> </w:t>
      </w:r>
      <w:r>
        <w:t xml:space="preserve">Joint research on smart grid solutions for Tehran’s high-density areas</w:t>
      </w:r>
    </w:p>
    <w:p>
      <w:pPr>
        <w:numPr>
          <w:ilvl w:val="0"/>
          <w:numId w:val="1004"/>
        </w:numPr>
        <w:pStyle w:val="Compact"/>
      </w:pPr>
      <w:r>
        <w:rPr>
          <w:iCs/>
          <w:i/>
        </w:rPr>
        <w:t xml:space="preserve">Iranian Electrical Industry Association (IEIA):</w:t>
      </w:r>
      <w:r>
        <w:t xml:space="preserve"> </w:t>
      </w:r>
      <w:r>
        <w:t xml:space="preserve">Becoming a certified training partner for Electrical Engineer professionals</w:t>
      </w:r>
    </w:p>
    <w:bookmarkEnd w:id="26"/>
    <w:bookmarkStart w:id="27" w:name="government-engagement-strategy"/>
    <w:p>
      <w:pPr>
        <w:pStyle w:val="Heading3"/>
      </w:pPr>
      <w:r>
        <w:t xml:space="preserve">4. Government Engagement Strategy</w:t>
      </w:r>
    </w:p>
    <w:p>
      <w:pPr>
        <w:pStyle w:val="FirstParagraph"/>
      </w:pPr>
      <w:r>
        <w:t xml:space="preserve">Direct outreach to Tehran Energy Department through formal proposals addressing the city's "Smart Tehran Initiative." We emphasize how our Electrical Engineer services align with Mayor Khatami’s 2025 infrastructure goals, including:</w:t>
      </w:r>
    </w:p>
    <w:p>
      <w:pPr>
        <w:numPr>
          <w:ilvl w:val="0"/>
          <w:numId w:val="1005"/>
        </w:numPr>
        <w:pStyle w:val="Compact"/>
      </w:pPr>
      <w:r>
        <w:t xml:space="preserve">Free preliminary grid assessment audits for municipal projects</w:t>
      </w:r>
    </w:p>
    <w:p>
      <w:pPr>
        <w:numPr>
          <w:ilvl w:val="0"/>
          <w:numId w:val="1005"/>
        </w:numPr>
        <w:pStyle w:val="Compact"/>
      </w:pPr>
      <w:r>
        <w:t xml:space="preserve">Discounted rates for government RFPs (Request for Proposals)</w:t>
      </w:r>
    </w:p>
    <w:p>
      <w:pPr>
        <w:numPr>
          <w:ilvl w:val="0"/>
          <w:numId w:val="1005"/>
        </w:numPr>
        <w:pStyle w:val="Compact"/>
      </w:pPr>
      <w:r>
        <w:t xml:space="preserve">Participation in Tehran Energy Forum as keynote speakers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$150,000</w:t>
            </w:r>
          </w:p>
        </w:tc>
        <w:tc>
          <w:tcPr/>
          <w:p>
            <w:pPr>
              <w:pStyle w:val="Compact"/>
              <w:jc w:val="left"/>
            </w:pPr>
            <w:r>
              <w:t xml:space="preserve">Tehran's business community is highly digital; targeted online presence is critical for lead generation</w:t>
            </w:r>
          </w:p>
        </w:tc>
      </w:tr>
      <w:tr>
        <w:tc>
          <w:tcPr/>
          <w:p>
            <w:pPr>
              <w:pStyle w:val="Compact"/>
              <w:jc w:val="left"/>
            </w:pPr>
            <w:r>
              <w:t xml:space="preserve">Government &amp; Partnership Events</w:t>
            </w:r>
          </w:p>
        </w:tc>
        <w:tc>
          <w:tcPr/>
          <w:p>
            <w:pPr>
              <w:pStyle w:val="Compact"/>
              <w:jc w:val="left"/>
            </w:pPr>
            <w:r>
              <w:t xml:space="preserve">$85,000</w:t>
            </w:r>
          </w:p>
        </w:tc>
        <w:tc>
          <w:tcPr/>
          <w:p>
            <w:pPr>
              <w:pStyle w:val="Compact"/>
              <w:jc w:val="left"/>
            </w:pPr>
            <w:r>
              <w:t xml:space="preserve">Building trust with Tehran authorities requires in-person engagement and credibility events</w:t>
            </w:r>
          </w:p>
        </w:tc>
      </w:tr>
      <w:tr>
        <w:tc>
          <w:tcPr/>
          <w:p>
            <w:pPr>
              <w:pStyle w:val="Compact"/>
              <w:jc w:val="left"/>
            </w:pPr>
            <w:r>
              <w:t xml:space="preserve">Content Development (Case Studies/Reports)</w:t>
            </w:r>
          </w:p>
        </w:tc>
        <w:tc>
          <w:tcPr/>
          <w:p>
            <w:pPr>
              <w:pStyle w:val="Compact"/>
              <w:jc w:val="left"/>
            </w:pPr>
            <w:r>
              <w:t xml:space="preserve">$65,000</w:t>
            </w:r>
          </w:p>
        </w:tc>
        <w:tc>
          <w:tcPr/>
          <w:p>
            <w:pPr>
              <w:pStyle w:val="Compact"/>
              <w:jc w:val="left"/>
            </w:pPr>
            <w:r>
              <w:t xml:space="preserve">Demonstrating Tehran-specific expertise through tangible evidence</w:t>
            </w:r>
          </w:p>
        </w:tc>
      </w:tr>
      <w:tr>
        <w:tc>
          <w:tcPr/>
          <w:p>
            <w:pPr>
              <w:pStyle w:val="Compact"/>
              <w:jc w:val="left"/>
            </w:pPr>
            <w:r>
              <w:t xml:space="preserve">Team Training (Iran-Specific Compliance)</w:t>
            </w:r>
          </w:p>
        </w:tc>
        <w:tc>
          <w:tcPr/>
          <w:p>
            <w:pPr>
              <w:pStyle w:val="Compact"/>
              <w:jc w:val="left"/>
            </w:pPr>
            <w:r>
              <w:t xml:space="preserve">$50,000</w:t>
            </w:r>
          </w:p>
        </w:tc>
        <w:tc>
          <w:tcPr/>
          <w:p>
            <w:pPr>
              <w:pStyle w:val="Compact"/>
              <w:jc w:val="left"/>
            </w:pPr>
            <w:r>
              <w:t xml:space="preserve">Ensuring all Electrical Engineer staff master Iranian regulations and Tehran’s infrastructure context</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Q1:</w:t>
      </w:r>
      <w:r>
        <w:t xml:space="preserve"> </w:t>
      </w:r>
      <w:r>
        <w:t xml:space="preserve">Establish Tehran office in Technology Park; launch website with Tehran-focused content; begin IEIA partnership talks</w:t>
      </w:r>
    </w:p>
    <w:p>
      <w:pPr>
        <w:numPr>
          <w:ilvl w:val="0"/>
          <w:numId w:val="1006"/>
        </w:numPr>
        <w:pStyle w:val="Compact"/>
      </w:pPr>
      <w:r>
        <w:rPr>
          <w:bCs/>
          <w:b/>
        </w:rPr>
        <w:t xml:space="preserve">Q2:</w:t>
      </w:r>
      <w:r>
        <w:t xml:space="preserve"> </w:t>
      </w:r>
      <w:r>
        <w:t xml:space="preserve">Host first "Electrical Engineering for Tehran" webinar; secure 3 municipal pilot projects</w:t>
      </w:r>
    </w:p>
    <w:p>
      <w:pPr>
        <w:numPr>
          <w:ilvl w:val="0"/>
          <w:numId w:val="1006"/>
        </w:numPr>
        <w:pStyle w:val="Compact"/>
      </w:pPr>
      <w:r>
        <w:rPr>
          <w:bCs/>
          <w:b/>
        </w:rPr>
        <w:t xml:space="preserve">Q3:</w:t>
      </w:r>
      <w:r>
        <w:t xml:space="preserve"> </w:t>
      </w:r>
      <w:r>
        <w:t xml:space="preserve">Release case study on Tehran Industrial Zone project; attend Tehran Energy Forum as exhibitor</w:t>
      </w:r>
    </w:p>
    <w:p>
      <w:pPr>
        <w:numPr>
          <w:ilvl w:val="0"/>
          <w:numId w:val="1006"/>
        </w:numPr>
        <w:pStyle w:val="Compact"/>
      </w:pPr>
      <w:r>
        <w:rPr>
          <w:bCs/>
          <w:b/>
        </w:rPr>
        <w:t xml:space="preserve">Q4:</w:t>
      </w:r>
      <w:r>
        <w:t xml:space="preserve"> </w:t>
      </w:r>
      <w:r>
        <w:t xml:space="preserve">Achieve 50% of Year 1 revenue target through government RFPs and commercial contracts</w:t>
      </w:r>
    </w:p>
    <w:bookmarkEnd w:id="30"/>
    <w:bookmarkStart w:id="31" w:name="evaluation-control-mechanisms"/>
    <w:p>
      <w:pPr>
        <w:pStyle w:val="Heading2"/>
      </w:pPr>
      <w:r>
        <w:t xml:space="preserve">Evaluation &amp; Control Mechanisms</w:t>
      </w:r>
    </w:p>
    <w:p>
      <w:pPr>
        <w:pStyle w:val="FirstParagraph"/>
      </w:pPr>
      <w:r>
        <w:t xml:space="preserve">We will measure success through key performance indicators (KPIs) tailored to Tehran’s market:</w:t>
      </w:r>
    </w:p>
    <w:p>
      <w:pPr>
        <w:pStyle w:val="BodyText"/>
      </w:pPr>
      <w:r>
        <w:rPr>
          <w:bCs/>
          <w:b/>
        </w:rPr>
        <w:t xml:space="preserve">Client Acquisition Cost (CAC):</w:t>
      </w:r>
      <w:r>
        <w:t xml:space="preserve"> </w:t>
      </w:r>
      <w:r>
        <w:t xml:space="preserve">Target: Below $5,000 per Tehran client (industry average: $7,200)</w:t>
      </w:r>
    </w:p>
    <w:p>
      <w:pPr>
        <w:pStyle w:val="BodyText"/>
      </w:pPr>
      <w:r>
        <w:rPr>
          <w:bCs/>
          <w:b/>
        </w:rPr>
        <w:t xml:space="preserve">Tehran Brand Recall:</w:t>
      </w:r>
      <w:r>
        <w:t xml:space="preserve"> </w:t>
      </w:r>
      <w:r>
        <w:t xml:space="preserve">Monthly social media polls tracking "Top Electrical Engineer Firm in Tehran" recognition</w:t>
      </w:r>
    </w:p>
    <w:p>
      <w:pPr>
        <w:pStyle w:val="BodyText"/>
      </w:pPr>
      <w:r>
        <w:rPr>
          <w:bCs/>
          <w:b/>
        </w:rPr>
        <w:t xml:space="preserve">Project Conversion Rate:</w:t>
      </w:r>
      <w:r>
        <w:t xml:space="preserve"> </w:t>
      </w:r>
      <w:r>
        <w:t xml:space="preserve">Target: 35% from lead to signed contract (vs. industry 22%)</w:t>
      </w:r>
    </w:p>
    <w:p>
      <w:pPr>
        <w:pStyle w:val="BodyText"/>
      </w:pPr>
      <w:r>
        <w:rPr>
          <w:bCs/>
          <w:b/>
        </w:rPr>
        <w:t xml:space="preserve">Government Contract Pipeline:</w:t>
      </w:r>
      <w:r>
        <w:t xml:space="preserve"> </w:t>
      </w:r>
      <w:r>
        <w:t xml:space="preserve">Quarterly review of pending Tehran Energy Department RFPs</w:t>
      </w:r>
    </w:p>
    <w:p>
      <w:pPr>
        <w:pStyle w:val="BodyText"/>
      </w:pPr>
      <w:r>
        <w:t xml:space="preserve">All metrics will be reviewed monthly by our Tehran operations team, with quarterly strategic adjustments based on market feedback.</w:t>
      </w:r>
    </w:p>
    <w:bookmarkEnd w:id="31"/>
    <w:bookmarkStart w:id="32" w:name="Xb14220eb06f7ecf362ee60d0ed4ccfae51926b5"/>
    <w:p>
      <w:pPr>
        <w:pStyle w:val="Heading2"/>
      </w:pPr>
      <w:r>
        <w:t xml:space="preserve">Conclusion: Why This Marketing Plan Wins in Iran Tehran</w:t>
      </w:r>
    </w:p>
    <w:p>
      <w:pPr>
        <w:pStyle w:val="FirstParagraph"/>
      </w:pPr>
      <w:r>
        <w:t xml:space="preserve">This Marketing Plan transcends generic service promotion by embedding itself within Tehran's unique electrical engineering ecosystem. Unlike competitors offering one-size-fits-all solutions, our strategy leverages the critical need for locally adapted Electrical Engineer expertise. By consistently emphasizing "Iran Tehran" as the core operating environment—through location-specific case studies, regulatory compliance training, and government partnerships—we establish irreplaceable credibility. The plan’s focus on measurable Tehran-centric outcomes ensures every marketing dollar drives sustainable growth in Iran's most strategic market. As Tehran evolves into a regional energy innovation hub, this Electrical Engineer service will be positioned as the essential partner for navigating its complex power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Iran Tehran</dc:title>
  <dc:creator/>
  <dc:language>en</dc:language>
  <cp:keywords/>
  <dcterms:created xsi:type="dcterms:W3CDTF">2026-04-27T17:23:13Z</dcterms:created>
  <dcterms:modified xsi:type="dcterms:W3CDTF">2026-04-27T17:23:13Z</dcterms:modified>
</cp:coreProperties>
</file>

<file path=docProps/custom.xml><?xml version="1.0" encoding="utf-8"?>
<Properties xmlns="http://schemas.openxmlformats.org/officeDocument/2006/custom-properties" xmlns:vt="http://schemas.openxmlformats.org/officeDocument/2006/docPropsVTypes"/>
</file>