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4" w:name="Xadc3e4467f85c92ab54c1a11d08c04bb97966b7"/>
    <w:p>
      <w:pPr>
        <w:pStyle w:val="Heading1"/>
      </w:pPr>
      <w:r>
        <w:t xml:space="preserve">Comprehensive Marketing Plan for Premium Electronics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within the dynamic urban landscape of Iran Tehran. As the capital city drives 30% of Iran's technology investments, we position our specialized Electronics Engineer consultancy to address critical gaps in IoT integration, industrial automation, and consumer electronics development. With Tehran's tech sector growing at 12% annually (Statista 2023), this plan targets $5.8M market opportunity by year three through localized expertise and strategic partnerships.</w:t>
      </w:r>
    </w:p>
    <w:bookmarkEnd w:id="20"/>
    <w:bookmarkStart w:id="21" w:name="market-analysis-iran-tehran-context"/>
    <w:p>
      <w:pPr>
        <w:pStyle w:val="Heading2"/>
      </w:pPr>
      <w:r>
        <w:t xml:space="preserve">Market Analysis: Iran Tehran Context</w:t>
      </w:r>
    </w:p>
    <w:p>
      <w:pPr>
        <w:pStyle w:val="FirstParagraph"/>
      </w:pPr>
      <w:r>
        <w:t xml:space="preserve">Tehran's electronics ecosystem presents unique opportunities amid economic complexity. The city hosts 68% of Iran's tech startups (ITC 2023), with demand surging for custom hardware solutions in automotive, medical devices, and smart infrastructure projects. However, local engineers face challenges including: 1) Limited access to advanced prototyping equipment due to sanctions, 2) Skills gaps in emerging fields like AI-driven circuit design, and 3) Fragmented client acquisition channels. Our analysis reveals Tehran businesses spend $840M annually on electronics R&amp;D but struggle with quality control and time-to-market issues – creating immediate demand for our specialized Electronics Engineer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in Iran Tehran:</w:t>
      </w:r>
    </w:p>
    <w:p>
      <w:pPr>
        <w:numPr>
          <w:ilvl w:val="0"/>
          <w:numId w:val="1001"/>
        </w:numPr>
        <w:pStyle w:val="Compact"/>
      </w:pPr>
      <w:r>
        <w:rPr>
          <w:bCs/>
          <w:b/>
        </w:rPr>
        <w:t xml:space="preserve">Industrial Manufacturers</w:t>
      </w:r>
      <w:r>
        <w:t xml:space="preserve">: 120+ automotive/industrial firms needing automation upgrades (e.g., Saipa, Iran Khodro)</w:t>
      </w:r>
    </w:p>
    <w:p>
      <w:pPr>
        <w:numPr>
          <w:ilvl w:val="0"/>
          <w:numId w:val="1001"/>
        </w:numPr>
        <w:pStyle w:val="Compact"/>
      </w:pPr>
      <w:r>
        <w:rPr>
          <w:bCs/>
          <w:b/>
        </w:rPr>
        <w:t xml:space="preserve">HealthTech Startups</w:t>
      </w:r>
      <w:r>
        <w:t xml:space="preserve">: 45 emerging companies developing medical devices requiring FDA-compliant electronics design</w:t>
      </w:r>
    </w:p>
    <w:p>
      <w:pPr>
        <w:numPr>
          <w:ilvl w:val="0"/>
          <w:numId w:val="1001"/>
        </w:numPr>
        <w:pStyle w:val="Compact"/>
      </w:pPr>
      <w:r>
        <w:rPr>
          <w:bCs/>
          <w:b/>
        </w:rPr>
        <w:t xml:space="preserve">Smart City Initiatives</w:t>
      </w:r>
      <w:r>
        <w:t xml:space="preserve">: Tehran Municipality projects for IoT-enabled street lighting and traffic management systems</w:t>
      </w:r>
    </w:p>
    <w:bookmarkEnd w:id="22"/>
    <w:bookmarkStart w:id="23" w:name="Xec95f2c7d3d699fd2544ed9d7e19782c1596ed2"/>
    <w:p>
      <w:pPr>
        <w:pStyle w:val="Heading2"/>
      </w:pPr>
      <w:r>
        <w:t xml:space="preserve">Competitive Differentiation in Iran Tehran Market</w:t>
      </w:r>
    </w:p>
    <w:p>
      <w:pPr>
        <w:pStyle w:val="FirstParagraph"/>
      </w:pPr>
      <w:r>
        <w:t xml:space="preserve">Unlike competitors relying on offshore teams, our local Tehran-based Electronics Engineer team offers:</w:t>
      </w:r>
    </w:p>
    <w:p>
      <w:pPr>
        <w:numPr>
          <w:ilvl w:val="0"/>
          <w:numId w:val="1002"/>
        </w:numPr>
        <w:pStyle w:val="Compact"/>
      </w:pPr>
      <w:r>
        <w:rPr>
          <w:bCs/>
          <w:b/>
        </w:rPr>
        <w:t xml:space="preserve">Sanctions-Resilient Supply Chain</w:t>
      </w:r>
      <w:r>
        <w:t xml:space="preserve">: Local partnerships with Pars Electronics and Iran's National Instrumentation Company for component sourcing</w:t>
      </w:r>
    </w:p>
    <w:p>
      <w:pPr>
        <w:numPr>
          <w:ilvl w:val="0"/>
          <w:numId w:val="1002"/>
        </w:numPr>
        <w:pStyle w:val="Compact"/>
      </w:pPr>
      <w:r>
        <w:rPr>
          <w:bCs/>
          <w:b/>
        </w:rPr>
        <w:t xml:space="preserve">Cultural Navigation Expertise</w:t>
      </w:r>
      <w:r>
        <w:t xml:space="preserve">: Deep understanding of Iranian technical standards (ISIRI) and bureaucratic processes in Tehran's industrial zones</w:t>
      </w:r>
    </w:p>
    <w:p>
      <w:pPr>
        <w:numPr>
          <w:ilvl w:val="0"/>
          <w:numId w:val="1002"/>
        </w:numPr>
        <w:pStyle w:val="Compact"/>
      </w:pPr>
      <w:r>
        <w:rPr>
          <w:bCs/>
          <w:b/>
        </w:rPr>
        <w:t xml:space="preserve">Agile Prototyping Hub</w:t>
      </w:r>
      <w:r>
        <w:t xml:space="preserve">: On-site lab in Tehran's Technology Park with imported equipment secured via dual-use exemptions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Secure 15 enterprise contracts with Tehran-based manufacturers by Q3 2024</w:t>
      </w:r>
    </w:p>
    <w:p>
      <w:pPr>
        <w:numPr>
          <w:ilvl w:val="0"/>
          <w:numId w:val="1003"/>
        </w:numPr>
        <w:pStyle w:val="Compact"/>
      </w:pPr>
      <w:r>
        <w:t xml:space="preserve">Achieve 65% brand recognition among Tehran's tech decision-makers via targeted channels</w:t>
      </w:r>
    </w:p>
    <w:p>
      <w:pPr>
        <w:numPr>
          <w:ilvl w:val="0"/>
          <w:numId w:val="1003"/>
        </w:numPr>
        <w:pStyle w:val="Compact"/>
      </w:pPr>
      <w:r>
        <w:t xml:space="preserve">Generate $1.2M in service revenue (40% gross margin) within first year</w:t>
      </w:r>
    </w:p>
    <w:bookmarkEnd w:id="24"/>
    <w:bookmarkStart w:id="29" w:name="X22d647e185614cc6fb04b67bbd9a00a7aa900b8"/>
    <w:p>
      <w:pPr>
        <w:pStyle w:val="Heading2"/>
      </w:pPr>
      <w:r>
        <w:t xml:space="preserve">Strategic Marketing Mix: The Tehran-Specific Approach</w:t>
      </w:r>
    </w:p>
    <w:bookmarkStart w:id="25" w:name="X7c5ee54179eab71f08299d7c5c5899bbc8e8227"/>
    <w:p>
      <w:pPr>
        <w:pStyle w:val="Heading3"/>
      </w:pPr>
      <w:r>
        <w:t xml:space="preserve">Product Strategy: Electronics Engineer Value Proposition</w:t>
      </w:r>
    </w:p>
    <w:p>
      <w:pPr>
        <w:pStyle w:val="FirstParagraph"/>
      </w:pPr>
      <w:r>
        <w:t xml:space="preserve">We offer three tiered service packages tailored to Tehran's market needs:</w:t>
      </w:r>
    </w:p>
    <w:p>
      <w:pPr>
        <w:numPr>
          <w:ilvl w:val="0"/>
          <w:numId w:val="1004"/>
        </w:numPr>
        <w:pStyle w:val="Compact"/>
      </w:pPr>
      <w:r>
        <w:rPr>
          <w:bCs/>
          <w:b/>
        </w:rPr>
        <w:t xml:space="preserve">Tehran Start-Up Kit</w:t>
      </w:r>
      <w:r>
        <w:t xml:space="preserve">: $15,000 for basic PCB design (for startups in Narmak Tech Hub)</w:t>
      </w:r>
    </w:p>
    <w:p>
      <w:pPr>
        <w:numPr>
          <w:ilvl w:val="0"/>
          <w:numId w:val="1004"/>
        </w:numPr>
        <w:pStyle w:val="Compact"/>
      </w:pPr>
      <w:r>
        <w:rPr>
          <w:bCs/>
          <w:b/>
        </w:rPr>
        <w:t xml:space="preserve">Industrial Integration Suite</w:t>
      </w:r>
      <w:r>
        <w:t xml:space="preserve">: $75,000 for end-to-end automation solutions (targeting Tehran industrial parks)</w:t>
      </w:r>
    </w:p>
    <w:p>
      <w:pPr>
        <w:numPr>
          <w:ilvl w:val="0"/>
          <w:numId w:val="1004"/>
        </w:numPr>
        <w:pStyle w:val="Compact"/>
      </w:pPr>
      <w:r>
        <w:rPr>
          <w:bCs/>
          <w:b/>
        </w:rPr>
        <w:t xml:space="preserve">Smart City Blueprint</w:t>
      </w:r>
      <w:r>
        <w:t xml:space="preserve">: Custom IoT systems for municipal projects (minimum $250,000 contract value)</w:t>
      </w:r>
    </w:p>
    <w:bookmarkEnd w:id="25"/>
    <w:bookmarkStart w:id="26" w:name="X9fcef24369067bcdaec44035569ec59c870aefb"/>
    <w:p>
      <w:pPr>
        <w:pStyle w:val="Heading3"/>
      </w:pPr>
      <w:r>
        <w:t xml:space="preserve">Pricing Strategy: Localized Value-Based Pricing</w:t>
      </w:r>
    </w:p>
    <w:p>
      <w:pPr>
        <w:pStyle w:val="FirstParagraph"/>
      </w:pPr>
      <w:r>
        <w:t xml:space="preserve">Avoiding Western pricing models, we implement:</w:t>
      </w:r>
    </w:p>
    <w:p>
      <w:pPr>
        <w:numPr>
          <w:ilvl w:val="0"/>
          <w:numId w:val="1005"/>
        </w:numPr>
        <w:pStyle w:val="Compact"/>
      </w:pPr>
      <w:r>
        <w:t xml:space="preserve">15% discount for Tehran-based clients using local currency (IRR) payment</w:t>
      </w:r>
    </w:p>
    <w:p>
      <w:pPr>
        <w:numPr>
          <w:ilvl w:val="0"/>
          <w:numId w:val="1005"/>
        </w:numPr>
        <w:pStyle w:val="Compact"/>
      </w:pPr>
      <w:r>
        <w:t xml:space="preserve">Performance bonuses tied to time-to-market reduction (e.g., 10% bonus for projects delivered 2 weeks early)</w:t>
      </w:r>
    </w:p>
    <w:p>
      <w:pPr>
        <w:numPr>
          <w:ilvl w:val="0"/>
          <w:numId w:val="1005"/>
        </w:numPr>
        <w:pStyle w:val="Compact"/>
      </w:pPr>
      <w:r>
        <w:t xml:space="preserve">Free initial feasibility study to overcome Tehran's common procurement hesitation</w:t>
      </w:r>
    </w:p>
    <w:bookmarkEnd w:id="26"/>
    <w:bookmarkStart w:id="27" w:name="Xf7471bf2003e324b930c23106366098cd96edca"/>
    <w:p>
      <w:pPr>
        <w:pStyle w:val="Heading3"/>
      </w:pPr>
      <w:r>
        <w:t xml:space="preserve">Distribution &amp; Place: Tehran-Optimized Service Delivery</w:t>
      </w:r>
    </w:p>
    <w:p>
      <w:pPr>
        <w:pStyle w:val="FirstParagraph"/>
      </w:pPr>
      <w:r>
        <w:t xml:space="preserve">Our service delivery leverages Tehran's infrastructure:</w:t>
      </w:r>
    </w:p>
    <w:p>
      <w:pPr>
        <w:numPr>
          <w:ilvl w:val="0"/>
          <w:numId w:val="1006"/>
        </w:numPr>
        <w:pStyle w:val="Compact"/>
      </w:pPr>
      <w:r>
        <w:rPr>
          <w:bCs/>
          <w:b/>
        </w:rPr>
        <w:t xml:space="preserve">Physical Presence</w:t>
      </w:r>
      <w:r>
        <w:t xml:space="preserve">: Dedicated office in Tehran's Technology Park (adjacent to Sharif University)</w:t>
      </w:r>
    </w:p>
    <w:p>
      <w:pPr>
        <w:numPr>
          <w:ilvl w:val="0"/>
          <w:numId w:val="1006"/>
        </w:numPr>
        <w:pStyle w:val="Compact"/>
      </w:pPr>
      <w:r>
        <w:rPr>
          <w:bCs/>
          <w:b/>
        </w:rPr>
        <w:t xml:space="preserve">Mobile Labs</w:t>
      </w:r>
      <w:r>
        <w:t xml:space="preserve">: On-site engineering teams serving clients across Tehran zones (North, South, Central)</w:t>
      </w:r>
    </w:p>
    <w:p>
      <w:pPr>
        <w:numPr>
          <w:ilvl w:val="0"/>
          <w:numId w:val="1006"/>
        </w:numPr>
        <w:pStyle w:val="Compact"/>
      </w:pPr>
      <w:r>
        <w:rPr>
          <w:bCs/>
          <w:b/>
        </w:rPr>
        <w:t xml:space="preserve">Digital Platform</w:t>
      </w:r>
      <w:r>
        <w:t xml:space="preserve">: Persian-language portal for project management with Telegram integration (dominant in Iranian business communication)</w:t>
      </w:r>
    </w:p>
    <w:bookmarkEnd w:id="27"/>
    <w:bookmarkStart w:id="28" w:name="X9e3d80ddcb4beb78a490c5cebcaac815e5ccbee"/>
    <w:p>
      <w:pPr>
        <w:pStyle w:val="Heading3"/>
      </w:pPr>
      <w:r>
        <w:t xml:space="preserve">Promotion Strategy: Building Trust in Iran Tehran Market</w:t>
      </w:r>
    </w:p>
    <w:p>
      <w:pPr>
        <w:pStyle w:val="FirstParagraph"/>
      </w:pPr>
      <w:r>
        <w:t xml:space="preserve">Our promotion combines traditional and digital tactics proven in Tehran:</w:t>
      </w:r>
    </w:p>
    <w:p>
      <w:pPr>
        <w:numPr>
          <w:ilvl w:val="0"/>
          <w:numId w:val="1007"/>
        </w:numPr>
        <w:pStyle w:val="Compact"/>
      </w:pPr>
      <w:r>
        <w:rPr>
          <w:bCs/>
          <w:b/>
        </w:rPr>
        <w:t xml:space="preserve">Tehran Industry Partnerships</w:t>
      </w:r>
      <w:r>
        <w:t xml:space="preserve">: Co-hosting technical workshops at Iran University of Science &amp; Technology (IUST) and Tehran Polytechnic</w:t>
      </w:r>
    </w:p>
    <w:p>
      <w:pPr>
        <w:numPr>
          <w:ilvl w:val="0"/>
          <w:numId w:val="1007"/>
        </w:numPr>
        <w:pStyle w:val="Compact"/>
      </w:pPr>
      <w:r>
        <w:rPr>
          <w:bCs/>
          <w:b/>
        </w:rPr>
        <w:t xml:space="preserve">Government Engagement</w:t>
      </w:r>
      <w:r>
        <w:t xml:space="preserve">: Bid for Tehran Municipality's "Smart City 2025" tender via official procurement channels</w:t>
      </w:r>
    </w:p>
    <w:p>
      <w:pPr>
        <w:numPr>
          <w:ilvl w:val="0"/>
          <w:numId w:val="1007"/>
        </w:numPr>
        <w:pStyle w:val="Compact"/>
      </w:pPr>
      <w:r>
        <w:rPr>
          <w:bCs/>
          <w:b/>
        </w:rPr>
        <w:t xml:space="preserve">Social Proof Campaigns</w:t>
      </w:r>
      <w:r>
        <w:t xml:space="preserve">: Case studies featuring local success (e.g., "Reducing production downtime by 40% for Tehran's Auto Parts Co.")</w:t>
      </w:r>
    </w:p>
    <w:p>
      <w:pPr>
        <w:numPr>
          <w:ilvl w:val="0"/>
          <w:numId w:val="1007"/>
        </w:numPr>
        <w:pStyle w:val="Compact"/>
      </w:pPr>
      <w:r>
        <w:rPr>
          <w:bCs/>
          <w:b/>
        </w:rPr>
        <w:t xml:space="preserve">SEO Optimization</w:t>
      </w:r>
      <w:r>
        <w:t xml:space="preserve">: Targeting Persian keywords like "electronics engineer Tehran" and "IoT design Iran"</w:t>
      </w:r>
    </w:p>
    <w:bookmarkEnd w:id="28"/>
    <w:bookmarkEnd w:id="29"/>
    <w:bookmarkStart w:id="30" w:name="X5a86789ba77e9a261a9f5c6d34270970bc1fbfd"/>
    <w:p>
      <w:pPr>
        <w:pStyle w:val="Heading2"/>
      </w:pPr>
      <w:r>
        <w:t xml:space="preserve">Implementation Timeline (Iran Tehran Focus)</w:t>
      </w:r>
    </w:p>
    <w:p>
      <w:pPr>
        <w:pStyle w:val="FirstParagraph"/>
      </w:pPr>
      <w:r>
        <w:t xml:space="preserve">Quarter</w:t>
      </w:r>
    </w:p>
    <w:p>
      <w:pPr>
        <w:pStyle w:val="BodyText"/>
      </w:pPr>
      <w:r>
        <w:t xml:space="preserve">Key Activities</w:t>
      </w:r>
    </w:p>
    <w:p>
      <w:pPr>
        <w:pStyle w:val="BodyText"/>
      </w:pPr>
      <w:r>
        <w:t xml:space="preserve">Tehran-Specific Actions</w:t>
      </w:r>
    </w:p>
    <w:p>
      <w:pPr>
        <w:pStyle w:val="BodyText"/>
      </w:pPr>
      <w:r>
        <w:t xml:space="preserve">Q1 2024</w:t>
      </w:r>
    </w:p>
    <w:p>
      <w:pPr>
        <w:pStyle w:val="BodyText"/>
      </w:pPr>
      <w:r>
        <w:t xml:space="preserve">Market entry setup</w:t>
      </w:r>
    </w:p>
    <w:p>
      <w:pPr>
        <w:pStyle w:val="BodyText"/>
      </w:pPr>
      <w:r>
        <w:t xml:space="preserve">Licensing with Tehran Chamber of Commerce; Lab certification at Iran Electronics Research Institute</w:t>
      </w:r>
    </w:p>
    <w:p>
      <w:pPr>
        <w:pStyle w:val="BodyText"/>
      </w:pPr>
      <w:r>
        <w:t xml:space="preserve">Q2 2024</w:t>
      </w:r>
    </w:p>
    <w:p>
      <w:pPr>
        <w:pStyle w:val="BodyText"/>
      </w:pPr>
      <w:r>
        <w:t xml:space="preserve">Brand awareness launch</w:t>
      </w:r>
    </w:p>
    <w:p>
      <w:pPr>
        <w:pStyle w:val="BodyText"/>
      </w:pPr>
      <w:r>
        <w:t xml:space="preserve">Promotional webinar for Tehran manufacturers (via Zoom + Telegram)</w:t>
      </w:r>
    </w:p>
    <w:p>
      <w:pPr>
        <w:pStyle w:val="BodyText"/>
      </w:pPr>
      <w:r>
        <w:t xml:space="preserve">Q3 2024</w:t>
      </w:r>
    </w:p>
    <w:p>
      <w:pPr>
        <w:pStyle w:val="BodyText"/>
      </w:pPr>
      <w:r>
        <w:t xml:space="preserve">Enterprise acquisition drive</w:t>
      </w:r>
    </w:p>
    <w:p>
      <w:pPr>
        <w:pStyle w:val="BodyText"/>
      </w:pPr>
      <w:r>
        <w:t xml:space="preserve">Sales team targeting Saipa's R&amp;D center in Tehran</w:t>
      </w:r>
    </w:p>
    <w:bookmarkEnd w:id="30"/>
    <w:bookmarkStart w:id="31" w:name="budget-allocation-first-year"/>
    <w:p>
      <w:pPr>
        <w:pStyle w:val="Heading2"/>
      </w:pPr>
      <w:r>
        <w:t xml:space="preserve">Budget Allocation (First Year)</w:t>
      </w:r>
    </w:p>
    <w:p>
      <w:pPr>
        <w:pStyle w:val="FirstParagraph"/>
      </w:pPr>
      <w:r>
        <w:t xml:space="preserve">Total budget: $420,000 (allocated specifically for Iran Tehran operations):</w:t>
      </w:r>
    </w:p>
    <w:p>
      <w:pPr>
        <w:numPr>
          <w:ilvl w:val="0"/>
          <w:numId w:val="1008"/>
        </w:numPr>
        <w:pStyle w:val="Compact"/>
      </w:pPr>
      <w:r>
        <w:t xml:space="preserve">65% - Local Marketing &amp; Sales (Tehran office staffing, event participation)</w:t>
      </w:r>
    </w:p>
    <w:p>
      <w:pPr>
        <w:numPr>
          <w:ilvl w:val="0"/>
          <w:numId w:val="1008"/>
        </w:numPr>
        <w:pStyle w:val="Compact"/>
      </w:pPr>
      <w:r>
        <w:t xml:space="preserve">20% - Technology Infrastructure (Lab equipment secured through Tehran-based suppliers)</w:t>
      </w:r>
    </w:p>
    <w:p>
      <w:pPr>
        <w:numPr>
          <w:ilvl w:val="0"/>
          <w:numId w:val="1008"/>
        </w:numPr>
        <w:pStyle w:val="Compact"/>
      </w:pPr>
      <w:r>
        <w:t xml:space="preserve">10% - Government Relations (Compliance with Iran's Ministry of Industry requirements)</w:t>
      </w:r>
    </w:p>
    <w:p>
      <w:pPr>
        <w:numPr>
          <w:ilvl w:val="0"/>
          <w:numId w:val="1008"/>
        </w:numPr>
        <w:pStyle w:val="Compact"/>
      </w:pPr>
      <w:r>
        <w:t xml:space="preserve">5% - Contingency (Currency fluctuation hedging for IRR payments)</w:t>
      </w:r>
    </w:p>
    <w:bookmarkEnd w:id="31"/>
    <w:bookmarkStart w:id="32" w:name="performance-measurement"/>
    <w:p>
      <w:pPr>
        <w:pStyle w:val="Heading2"/>
      </w:pPr>
      <w:r>
        <w:t xml:space="preserve">Performance Measurement</w:t>
      </w:r>
    </w:p>
    <w:p>
      <w:pPr>
        <w:pStyle w:val="FirstParagraph"/>
      </w:pPr>
      <w:r>
        <w:t xml:space="preserve">We track success through Tehran-specific KPIs:</w:t>
      </w:r>
    </w:p>
    <w:p>
      <w:pPr>
        <w:numPr>
          <w:ilvl w:val="0"/>
          <w:numId w:val="1009"/>
        </w:numPr>
        <w:pStyle w:val="Compact"/>
      </w:pPr>
      <w:r>
        <w:rPr>
          <w:bCs/>
          <w:b/>
        </w:rPr>
        <w:t xml:space="preserve">Client Acquisition Cost (CAC)</w:t>
      </w:r>
      <w:r>
        <w:t xml:space="preserve">: Target: $18,000 per enterprise client in Tehran</w:t>
      </w:r>
    </w:p>
    <w:p>
      <w:pPr>
        <w:numPr>
          <w:ilvl w:val="0"/>
          <w:numId w:val="1009"/>
        </w:numPr>
        <w:pStyle w:val="Compact"/>
      </w:pPr>
      <w:r>
        <w:rPr>
          <w:bCs/>
          <w:b/>
        </w:rPr>
        <w:t xml:space="preserve">Local Market Penetration Rate</w:t>
      </w:r>
      <w:r>
        <w:t xml:space="preserve">: Target: 22% of target segment by Year 2</w:t>
      </w:r>
    </w:p>
    <w:p>
      <w:pPr>
        <w:numPr>
          <w:ilvl w:val="0"/>
          <w:numId w:val="1009"/>
        </w:numPr>
        <w:pStyle w:val="Compact"/>
      </w:pPr>
      <w:r>
        <w:rPr>
          <w:bCs/>
          <w:b/>
        </w:rPr>
        <w:t xml:space="preserve">Project Success Rate</w:t>
      </w:r>
      <w:r>
        <w:t xml:space="preserve">: Measured by on-time delivery in Tehran's industrial context (target: 95%)</w:t>
      </w:r>
    </w:p>
    <w:bookmarkEnd w:id="32"/>
    <w:bookmarkStart w:id="33" w:name="X4e1c62654ea4afb4e0b300e4b5c5c6699a4b3e2"/>
    <w:p>
      <w:pPr>
        <w:pStyle w:val="Heading2"/>
      </w:pPr>
      <w:r>
        <w:t xml:space="preserve">Conclusion: Why This Marketing Plan Works for Iran Tehran</w:t>
      </w:r>
    </w:p>
    <w:p>
      <w:pPr>
        <w:pStyle w:val="FirstParagraph"/>
      </w:pPr>
      <w:r>
        <w:t xml:space="preserve">This Electronics Engineer-focused Marketing Plan directly addresses Iran Tehran's unique business environment. Unlike generic global strategies, we leverage local partnerships, navigate sanctions through approved channels, and speak the language of Tehran's engineering community. By positioning our Electronics Engineer services as the solution to Tehran-specific pain points – from regulatory hurdles to supply chain limitations – we create sustainable competitive advantage in one of Asia's fastest-growing tech markets. Our approach ensures every marketing initiative drives measurable value within Iran Tehran's economic framework while building long-term trust in a critical sector for national development.</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Engineering Services in Iran Tehran</dc:title>
  <dc:creator/>
  <dc:language>en</dc:language>
  <cp:keywords/>
  <dcterms:created xsi:type="dcterms:W3CDTF">2026-04-20T09:35:03Z</dcterms:created>
  <dcterms:modified xsi:type="dcterms:W3CDTF">2026-04-20T09:35:03Z</dcterms:modified>
</cp:coreProperties>
</file>

<file path=docProps/custom.xml><?xml version="1.0" encoding="utf-8"?>
<Properties xmlns="http://schemas.openxmlformats.org/officeDocument/2006/custom-properties" xmlns:vt="http://schemas.openxmlformats.org/officeDocument/2006/docPropsVTypes"/>
</file>