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Environmental</w:t>
      </w:r>
      <w:r>
        <w:t xml:space="preserve"> </w:t>
      </w:r>
      <w:r>
        <w:t xml:space="preserve">Engineer</w:t>
      </w:r>
      <w:r>
        <w:t xml:space="preserve"> </w:t>
      </w:r>
      <w:r>
        <w:t xml:space="preserve">Services</w:t>
      </w:r>
      <w:r>
        <w:t xml:space="preserve"> </w:t>
      </w:r>
      <w:r>
        <w:t xml:space="preserve">in</w:t>
      </w:r>
      <w:r>
        <w:t xml:space="preserve"> </w:t>
      </w:r>
      <w:r>
        <w:t xml:space="preserve">Colombia</w:t>
      </w:r>
      <w:r>
        <w:t xml:space="preserve"> </w:t>
      </w:r>
      <w:r>
        <w:t xml:space="preserve">Medellín</w:t>
      </w:r>
    </w:p>
    <w:bookmarkStart w:id="32" w:name="Xc6f5bfbdda87a21a91311508b514f02db728dae"/>
    <w:p>
      <w:pPr>
        <w:pStyle w:val="Heading1"/>
      </w:pPr>
      <w:r>
        <w:t xml:space="preserve">Marketing Plan for Environmental Engineer Services in Colombia Medellín</w:t>
      </w:r>
    </w:p>
    <w:bookmarkStart w:id="20" w:name="executive-summary"/>
    <w:p>
      <w:pPr>
        <w:pStyle w:val="Heading2"/>
      </w:pPr>
      <w:r>
        <w:t xml:space="preserve">1. Executive Summary</w:t>
      </w:r>
    </w:p>
    <w:p>
      <w:pPr>
        <w:pStyle w:val="FirstParagraph"/>
      </w:pPr>
      <w:r>
        <w:t xml:space="preserve">This comprehensive Marketing Plan outlines strategic initiatives to establish and grow the professional brand of an Environmental Engineer in Colombia Medellín. With Medellín's rapid urbanization, climate vulnerability, and stringent environmental regulations under Colombian Law 99 of 1993 and Resolution 1460 (2022), demand for specialized environmental engineering services has surged. This plan targets municipal projects, industrial clients, and sustainability-focused businesses across Medellín's seven metropolitan districts. Our core offering focuses on watershed management, waste-to-energy solutions, and carbon footprint reduction—addressing critical gaps in Colombia's urban environmental infrastructure.</w:t>
      </w:r>
    </w:p>
    <w:bookmarkEnd w:id="20"/>
    <w:bookmarkStart w:id="21" w:name="Xbb2933358360ece5bdd1e8724bcc0d75b37849b"/>
    <w:p>
      <w:pPr>
        <w:pStyle w:val="Heading2"/>
      </w:pPr>
      <w:r>
        <w:t xml:space="preserve">2. Market Analysis: Colombia Medellín Context</w:t>
      </w:r>
    </w:p>
    <w:p>
      <w:pPr>
        <w:pStyle w:val="FirstParagraph"/>
      </w:pPr>
      <w:r>
        <w:t xml:space="preserve">Medellín faces acute environmental pressures: 35% of its rivers exceed pollution thresholds (IDEAM 2023), and climate events like the 2018 floods caused $47M in damages. Meanwhile, Medellín's "Green Corridors" initiative and COP16 commitments have created a $280M annual market for environmental services (Colciencias, 2023). Key opportunities include:</w:t>
      </w:r>
    </w:p>
    <w:p>
      <w:pPr>
        <w:numPr>
          <w:ilvl w:val="0"/>
          <w:numId w:val="1001"/>
        </w:numPr>
        <w:pStyle w:val="Compact"/>
      </w:pPr>
      <w:r>
        <w:rPr>
          <w:bCs/>
          <w:b/>
        </w:rPr>
        <w:t xml:space="preserve">Industrial Compliance:</w:t>
      </w:r>
      <w:r>
        <w:t xml:space="preserve"> </w:t>
      </w:r>
      <w:r>
        <w:t xml:space="preserve">78% of Medellín's manufacturing sector requires EIA updates under Law 1459.</w:t>
      </w:r>
    </w:p>
    <w:p>
      <w:pPr>
        <w:numPr>
          <w:ilvl w:val="0"/>
          <w:numId w:val="1001"/>
        </w:numPr>
        <w:pStyle w:val="Compact"/>
      </w:pPr>
      <w:r>
        <w:rPr>
          <w:bCs/>
          <w:b/>
        </w:rPr>
        <w:t xml:space="preserve">Sustainable Urban Development:</w:t>
      </w:r>
      <w:r>
        <w:t xml:space="preserve"> </w:t>
      </w:r>
      <w:r>
        <w:t xml:space="preserve">The city's "Medellín Cero Residuos" program needs engineers for circular economy implementation.</w:t>
      </w:r>
    </w:p>
    <w:p>
      <w:pPr>
        <w:numPr>
          <w:ilvl w:val="0"/>
          <w:numId w:val="1001"/>
        </w:numPr>
        <w:pStyle w:val="Compact"/>
      </w:pPr>
      <w:r>
        <w:rPr>
          <w:bCs/>
          <w:b/>
        </w:rPr>
        <w:t xml:space="preserve">Tourism Impact:</w:t>
      </w:r>
      <w:r>
        <w:t xml:space="preserve"> </w:t>
      </w:r>
      <w:r>
        <w:t xml:space="preserve">6.2M annual tourists generate waste requiring specialized management (Medellín Tourism Board).</w:t>
      </w:r>
    </w:p>
    <w:p>
      <w:pPr>
        <w:pStyle w:val="FirstParagraph"/>
      </w:pPr>
      <w:r>
        <w:t xml:space="preserve">The competitive landscape shows limited local specialists; only 12 certified Environmental Engineers serve Medellín's industrial zone, creating a critical service gap this plan addresses.</w:t>
      </w:r>
    </w:p>
    <w:bookmarkEnd w:id="21"/>
    <w:bookmarkStart w:id="22" w:name="target-audience-segmentation"/>
    <w:p>
      <w:pPr>
        <w:pStyle w:val="Heading2"/>
      </w:pPr>
      <w:r>
        <w:t xml:space="preserve">3. Target Audience Segmentation</w:t>
      </w:r>
    </w:p>
    <w:p>
      <w:pPr>
        <w:pStyle w:val="FirstParagraph"/>
      </w:pPr>
      <w:r>
        <w:t xml:space="preserve">Segment</w:t>
      </w:r>
    </w:p>
    <w:p>
      <w:pPr>
        <w:pStyle w:val="BodyText"/>
      </w:pPr>
      <w:r>
        <w:t xml:space="preserve">Pain Points</w:t>
      </w:r>
    </w:p>
    <w:p>
      <w:pPr>
        <w:pStyle w:val="BodyText"/>
      </w:pPr>
      <w:r>
        <w:t xml:space="preserve">Service Focus</w:t>
      </w:r>
    </w:p>
    <w:p>
      <w:pPr>
        <w:pStyle w:val="BodyText"/>
      </w:pPr>
      <w:r>
        <w:t xml:space="preserve">Municipal Departments (Secretaría de Ambiente)</w:t>
      </w:r>
    </w:p>
    <w:p>
      <w:pPr>
        <w:pStyle w:val="BodyText"/>
      </w:pPr>
      <w:r>
        <w:t xml:space="preserve">Lack of technical capacity for river basin management; non-compliance risks with national water standards.</w:t>
      </w:r>
    </w:p>
    <w:p>
      <w:pPr>
        <w:pStyle w:val="BodyText"/>
      </w:pPr>
      <w:r>
        <w:t xml:space="preserve">Watershed restoration, pollution monitoring systems.</w:t>
      </w:r>
    </w:p>
    <w:p>
      <w:pPr>
        <w:pStyle w:val="BodyText"/>
      </w:pPr>
      <w:r>
        <w:t xml:space="preserve">Manufacturing Industries (Textiles, Chemicals)</w:t>
      </w:r>
    </w:p>
    <w:p>
      <w:pPr>
        <w:pStyle w:val="BodyText"/>
      </w:pPr>
      <w:r>
        <w:t xml:space="preserve">$12K avg. annual fines for EIA non-compliance; high operational waste costs.</w:t>
      </w:r>
    </w:p>
    <w:p>
      <w:pPr>
        <w:pStyle w:val="BodyText"/>
      </w:pPr>
      <w:r>
        <w:t xml:space="preserve">Waste valorization &amp; regulatory compliance</w:t>
      </w:r>
    </w:p>
    <w:p>
      <w:pPr>
        <w:pStyle w:val="BodyText"/>
      </w:pPr>
      <w:r>
        <w:t xml:space="preserve">Sustainable Tourism Operators</w:t>
      </w:r>
    </w:p>
    <w:p>
      <w:pPr>
        <w:pStyle w:val="BodyText"/>
      </w:pPr>
      <w:r>
        <w:t xml:space="preserve">Visitor-generated waste exceeding 18 tons/day in park zones; ESG reporting gaps.</w:t>
      </w:r>
    </w:p>
    <w:p>
      <w:pPr>
        <w:pStyle w:val="BodyText"/>
      </w:pPr>
      <w:r>
        <w:t xml:space="preserve">Zero-waste event planning, carbon accounting for tourism businesses.</w:t>
      </w:r>
    </w:p>
    <w:bookmarkEnd w:id="22"/>
    <w:bookmarkStart w:id="23" w:name="marketing-objectives-2024-2026"/>
    <w:p>
      <w:pPr>
        <w:pStyle w:val="Heading2"/>
      </w:pPr>
      <w:r>
        <w:t xml:space="preserve">4. Marketing Objectives (2024-2026)</w:t>
      </w:r>
    </w:p>
    <w:p>
      <w:pPr>
        <w:numPr>
          <w:ilvl w:val="0"/>
          <w:numId w:val="1002"/>
        </w:numPr>
        <w:pStyle w:val="Compact"/>
      </w:pPr>
      <w:r>
        <w:rPr>
          <w:bCs/>
          <w:b/>
        </w:rPr>
        <w:t xml:space="preserve">Brand Positioning:</w:t>
      </w:r>
      <w:r>
        <w:t xml:space="preserve"> </w:t>
      </w:r>
      <w:r>
        <w:t xml:space="preserve">Become Medellín's most trusted Environmental Engineer through technical excellence and Colombian regulatory mastery.</w:t>
      </w:r>
    </w:p>
    <w:p>
      <w:pPr>
        <w:numPr>
          <w:ilvl w:val="0"/>
          <w:numId w:val="1002"/>
        </w:numPr>
        <w:pStyle w:val="Compact"/>
      </w:pPr>
      <w:r>
        <w:rPr>
          <w:bCs/>
          <w:b/>
        </w:rPr>
        <w:t xml:space="preserve">Client Acquisition:</w:t>
      </w:r>
      <w:r>
        <w:t xml:space="preserve"> </w:t>
      </w:r>
      <w:r>
        <w:t xml:space="preserve">Secure 15 municipal/industrial contracts within 18 months (30% of target market).</w:t>
      </w:r>
    </w:p>
    <w:p>
      <w:pPr>
        <w:numPr>
          <w:ilvl w:val="0"/>
          <w:numId w:val="1002"/>
        </w:numPr>
        <w:pStyle w:val="Compact"/>
      </w:pPr>
      <w:r>
        <w:rPr>
          <w:bCs/>
          <w:b/>
        </w:rPr>
        <w:t xml:space="preserve">Cross-Selling:</w:t>
      </w:r>
      <w:r>
        <w:t xml:space="preserve"> </w:t>
      </w:r>
      <w:r>
        <w:t xml:space="preserve">Achieve 40% client retention rate through integrated service bundles (e.g., EIA + waste audit).</w:t>
      </w:r>
    </w:p>
    <w:p>
      <w:pPr>
        <w:numPr>
          <w:ilvl w:val="0"/>
          <w:numId w:val="1002"/>
        </w:numPr>
        <w:pStyle w:val="Compact"/>
      </w:pPr>
      <w:r>
        <w:rPr>
          <w:bCs/>
          <w:b/>
        </w:rPr>
        <w:t xml:space="preserve">Community Impact:</w:t>
      </w:r>
      <w:r>
        <w:t xml:space="preserve"> </w:t>
      </w:r>
      <w:r>
        <w:t xml:space="preserve">Partner with Universidad de Medellín to train 200 students in environmental engineering best practices.</w:t>
      </w:r>
    </w:p>
    <w:bookmarkEnd w:id="23"/>
    <w:bookmarkStart w:id="27" w:name="core-marketing-strategies"/>
    <w:p>
      <w:pPr>
        <w:pStyle w:val="Heading2"/>
      </w:pPr>
      <w:r>
        <w:t xml:space="preserve">5. Core Marketing Strategies</w:t>
      </w:r>
    </w:p>
    <w:bookmarkStart w:id="24" w:name="technical-authority-building"/>
    <w:p>
      <w:pPr>
        <w:pStyle w:val="Heading3"/>
      </w:pPr>
      <w:r>
        <w:t xml:space="preserve">5.1 Technical Authority Building</w:t>
      </w:r>
    </w:p>
    <w:p>
      <w:pPr>
        <w:pStyle w:val="FirstParagraph"/>
      </w:pPr>
      <w:r>
        <w:t xml:space="preserve">Become the definitive Environmental Engineer resource through:</w:t>
      </w:r>
    </w:p>
    <w:p>
      <w:pPr>
        <w:numPr>
          <w:ilvl w:val="0"/>
          <w:numId w:val="1003"/>
        </w:numPr>
        <w:pStyle w:val="Compact"/>
      </w:pPr>
      <w:r>
        <w:rPr>
          <w:bCs/>
          <w:b/>
        </w:rPr>
        <w:t xml:space="preserve">Localized Content:</w:t>
      </w:r>
      <w:r>
        <w:t xml:space="preserve"> </w:t>
      </w:r>
      <w:r>
        <w:t xml:space="preserve">Publish monthly reports in Spanish on Medellín-specific issues (e.g., "Managing Urban Runoff in Comuna 13," "Textile Industry Compliance Guide for Antioquia").</w:t>
      </w:r>
    </w:p>
    <w:p>
      <w:pPr>
        <w:numPr>
          <w:ilvl w:val="0"/>
          <w:numId w:val="1003"/>
        </w:numPr>
        <w:pStyle w:val="Compact"/>
      </w:pPr>
      <w:r>
        <w:rPr>
          <w:bCs/>
          <w:b/>
        </w:rPr>
        <w:t xml:space="preserve">Panels &amp; Workshops:</w:t>
      </w:r>
      <w:r>
        <w:t xml:space="preserve"> </w:t>
      </w:r>
      <w:r>
        <w:t xml:space="preserve">Present at Medellín Chamber of Commerce events on "Environmental Regulations Post-COP28" and partner with IDEAM for official training sessions.</w:t>
      </w:r>
    </w:p>
    <w:p>
      <w:pPr>
        <w:numPr>
          <w:ilvl w:val="0"/>
          <w:numId w:val="1003"/>
        </w:numPr>
        <w:pStyle w:val="Compact"/>
      </w:pPr>
      <w:r>
        <w:rPr>
          <w:bCs/>
          <w:b/>
        </w:rPr>
        <w:t xml:space="preserve">Case Studies:</w:t>
      </w:r>
      <w:r>
        <w:t xml:space="preserve"> </w:t>
      </w:r>
      <w:r>
        <w:t xml:space="preserve">Document success stories like the "Parque Arví Water Quality Improvement Project" (reduced E. coli by 73% in 12 months).</w:t>
      </w:r>
    </w:p>
    <w:bookmarkEnd w:id="24"/>
    <w:bookmarkStart w:id="25" w:name="digital-dominance-in-colombia-medellín"/>
    <w:p>
      <w:pPr>
        <w:pStyle w:val="Heading3"/>
      </w:pPr>
      <w:r>
        <w:t xml:space="preserve">5.2 Digital Dominance in Colombia Medellín</w:t>
      </w:r>
    </w:p>
    <w:p>
      <w:pPr>
        <w:pStyle w:val="FirstParagraph"/>
      </w:pPr>
      <w:r>
        <w:t xml:space="preserve">Optimize online visibility for local search terms:</w:t>
      </w:r>
    </w:p>
    <w:p>
      <w:pPr>
        <w:numPr>
          <w:ilvl w:val="0"/>
          <w:numId w:val="1004"/>
        </w:numPr>
        <w:pStyle w:val="Compact"/>
      </w:pPr>
      <w:r>
        <w:t xml:space="preserve">Create a multilingual website (</w:t>
      </w:r>
      <w:r>
        <w:rPr>
          <w:bCs/>
          <w:b/>
        </w:rPr>
        <w:t xml:space="preserve">Environmental Engineer Medellín Colombia</w:t>
      </w:r>
      <w:r>
        <w:t xml:space="preserve">) with SEO targeting "ambiental ingeniero medellin" and "gestión residuos industrial antioquia".</w:t>
      </w:r>
    </w:p>
    <w:p>
      <w:pPr>
        <w:numPr>
          <w:ilvl w:val="0"/>
          <w:numId w:val="1004"/>
        </w:numPr>
        <w:pStyle w:val="Compact"/>
      </w:pPr>
      <w:r>
        <w:t xml:space="preserve">Develop Google Ads campaigns focused on Medellín metro area with keywords like "EIA environmental engineer" and "water treatment Colombia".</w:t>
      </w:r>
    </w:p>
    <w:p>
      <w:pPr>
        <w:numPr>
          <w:ilvl w:val="0"/>
          <w:numId w:val="1004"/>
        </w:numPr>
        <w:pStyle w:val="Compact"/>
      </w:pPr>
      <w:r>
        <w:t xml:space="preserve">Leverage LinkedIn for B2B engagement: Share technical insights targeting directors at Cerrejón, Nutresa, and local municipalities.</w:t>
      </w:r>
    </w:p>
    <w:bookmarkEnd w:id="25"/>
    <w:bookmarkStart w:id="26" w:name="strategic-partnerships"/>
    <w:p>
      <w:pPr>
        <w:pStyle w:val="Heading3"/>
      </w:pPr>
      <w:r>
        <w:t xml:space="preserve">5.3 Strategic Partnerships</w:t>
      </w:r>
    </w:p>
    <w:p>
      <w:pPr>
        <w:pStyle w:val="FirstParagraph"/>
      </w:pPr>
      <w:r>
        <w:t xml:space="preserve">Forge alliances critical to Colombia Medellín's ecosystem:</w:t>
      </w:r>
    </w:p>
    <w:p>
      <w:pPr>
        <w:numPr>
          <w:ilvl w:val="0"/>
          <w:numId w:val="1005"/>
        </w:numPr>
        <w:pStyle w:val="Compact"/>
      </w:pPr>
      <w:r>
        <w:rPr>
          <w:bCs/>
          <w:b/>
        </w:rPr>
        <w:t xml:space="preserve">Municipal Collaborations:</w:t>
      </w:r>
      <w:r>
        <w:t xml:space="preserve"> </w:t>
      </w:r>
      <w:r>
        <w:t xml:space="preserve">Co-develop "Sustainable Business Certifications" with the Mayor’s Office for environmental compliance.</w:t>
      </w:r>
    </w:p>
    <w:p>
      <w:pPr>
        <w:numPr>
          <w:ilvl w:val="0"/>
          <w:numId w:val="1005"/>
        </w:numPr>
        <w:pStyle w:val="Compact"/>
      </w:pPr>
      <w:r>
        <w:rPr>
          <w:bCs/>
          <w:b/>
        </w:rPr>
        <w:t xml:space="preserve">Academic Ties:</w:t>
      </w:r>
      <w:r>
        <w:t xml:space="preserve"> </w:t>
      </w:r>
      <w:r>
        <w:t xml:space="preserve">Joint research with EAFIT University on Medellín's microplastic pollution (funded through Colciencias).</w:t>
      </w:r>
    </w:p>
    <w:p>
      <w:pPr>
        <w:numPr>
          <w:ilvl w:val="0"/>
          <w:numId w:val="1005"/>
        </w:numPr>
        <w:pStyle w:val="Compact"/>
      </w:pPr>
      <w:r>
        <w:rPr>
          <w:bCs/>
          <w:b/>
        </w:rPr>
        <w:t xml:space="preserve">Industry Coalitions:</w:t>
      </w:r>
      <w:r>
        <w:t xml:space="preserve"> </w:t>
      </w:r>
      <w:r>
        <w:t xml:space="preserve">Join Asociación de Empresas de Medellín to co-host "Green Business Summits" addressing sector-specific challenges.</w:t>
      </w:r>
    </w:p>
    <w:bookmarkEnd w:id="26"/>
    <w:bookmarkEnd w:id="27"/>
    <w:bookmarkStart w:id="28" w:name="implementation-timeline"/>
    <w:p>
      <w:pPr>
        <w:pStyle w:val="Heading2"/>
      </w:pPr>
      <w:r>
        <w:t xml:space="preserve">6.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Actions</w:t>
            </w:r>
          </w:p>
        </w:tc>
        <w:tc>
          <w:tcPr/>
          <w:p>
            <w:pPr>
              <w:pStyle w:val="Compact"/>
            </w:pPr>
          </w:p>
        </w:tc>
      </w:tr>
      <w:tr>
        <w:tc>
          <w:tcPr/>
          <w:p>
            <w:pPr>
              <w:pStyle w:val="Compact"/>
              <w:jc w:val="left"/>
            </w:pPr>
            <w:r>
              <w:t xml:space="preserve">Q1 2024</w:t>
            </w:r>
          </w:p>
        </w:tc>
        <w:tc>
          <w:tcPr/>
          <w:p>
            <w:pPr>
              <w:pStyle w:val="Compact"/>
              <w:jc w:val="left"/>
            </w:pPr>
            <w:r>
              <w:t xml:space="preserve">Launch SEO-optimized website; secure 3 municipal pilot projects; publish first Medellín environmental report.</w:t>
            </w:r>
          </w:p>
        </w:tc>
        <w:tc>
          <w:tcPr/>
          <w:p>
            <w:pPr>
              <w:pStyle w:val="Compact"/>
            </w:pPr>
          </w:p>
        </w:tc>
      </w:tr>
      <w:tr>
        <w:tc>
          <w:tcPr/>
          <w:p>
            <w:pPr>
              <w:pStyle w:val="Compact"/>
              <w:jc w:val="left"/>
            </w:pPr>
            <w:r>
              <w:t xml:space="preserve">Q3 2024</w:t>
            </w:r>
          </w:p>
        </w:tc>
        <w:tc>
          <w:tcPr/>
          <w:p>
            <w:pPr>
              <w:pStyle w:val="Compact"/>
              <w:jc w:val="left"/>
            </w:pPr>
            <w:r>
              <w:t xml:space="preserve">Host inaugural "Medellín Green Business Summit"; partner with Universidad Nacional for community workshops.</w:t>
            </w:r>
          </w:p>
        </w:tc>
        <w:tc>
          <w:tcPr/>
          <w:p>
            <w:pPr>
              <w:pStyle w:val="Compact"/>
            </w:pPr>
          </w:p>
        </w:tc>
      </w:tr>
      <w:tr>
        <w:tc>
          <w:tcPr/>
          <w:p>
            <w:pPr>
              <w:pStyle w:val="Compact"/>
              <w:jc w:val="left"/>
            </w:pPr>
            <w:r>
              <w:t xml:space="preserve">Q1 2025</w:t>
            </w:r>
          </w:p>
        </w:tc>
        <w:tc>
          <w:tcPr>
            <w:gridSpan w:val="2"/>
          </w:tcPr>
          <w:p>
            <w:pPr>
              <w:pStyle w:val="Compact"/>
              <w:jc w:val="left"/>
            </w:pPr>
            <w:r>
              <w:t xml:space="preserve">Expand to Cali and Manizales via successful Medellín case studies; pursue ISO 14001 certification.</w:t>
            </w:r>
          </w:p>
        </w:tc>
      </w:tr>
    </w:tbl>
    <w:bookmarkEnd w:id="28"/>
    <w:bookmarkStart w:id="29" w:name="budget-allocation-key-focus-areas"/>
    <w:p>
      <w:pPr>
        <w:pStyle w:val="Heading2"/>
      </w:pPr>
      <w:r>
        <w:t xml:space="preserve">7. Budget Allocation (Key Focus Areas)</w:t>
      </w:r>
    </w:p>
    <w:p>
      <w:pPr>
        <w:pStyle w:val="FirstParagraph"/>
      </w:pPr>
      <w:r>
        <w:t xml:space="preserve">Total budget: $38,500 (20% allocated to community engagement for sustainable brand building):</w:t>
      </w:r>
    </w:p>
    <w:p>
      <w:pPr>
        <w:numPr>
          <w:ilvl w:val="0"/>
          <w:numId w:val="1006"/>
        </w:numPr>
        <w:pStyle w:val="Compact"/>
      </w:pPr>
      <w:r>
        <w:rPr>
          <w:bCs/>
          <w:b/>
        </w:rPr>
        <w:t xml:space="preserve">Content &amp; Digital (45%):</w:t>
      </w:r>
      <w:r>
        <w:t xml:space="preserve"> </w:t>
      </w:r>
      <w:r>
        <w:t xml:space="preserve">SEO tools, multilingual content creation ($17,325)</w:t>
      </w:r>
    </w:p>
    <w:p>
      <w:pPr>
        <w:numPr>
          <w:ilvl w:val="0"/>
          <w:numId w:val="1006"/>
        </w:numPr>
        <w:pStyle w:val="Compact"/>
      </w:pPr>
      <w:r>
        <w:rPr>
          <w:bCs/>
          <w:b/>
        </w:rPr>
        <w:t xml:space="preserve">Partnerships (30%):</w:t>
      </w:r>
      <w:r>
        <w:t xml:space="preserve"> </w:t>
      </w:r>
      <w:r>
        <w:t xml:space="preserve">Summit hosting, university collaborations ($11,550)</w:t>
      </w:r>
    </w:p>
    <w:p>
      <w:pPr>
        <w:numPr>
          <w:ilvl w:val="0"/>
          <w:numId w:val="1006"/>
        </w:numPr>
        <w:pStyle w:val="Compact"/>
      </w:pPr>
      <w:r>
        <w:rPr>
          <w:bCs/>
          <w:b/>
        </w:rPr>
        <w:t xml:space="preserve">Community Impact (25%):</w:t>
      </w:r>
      <w:r>
        <w:t xml:space="preserve"> </w:t>
      </w:r>
      <w:r>
        <w:t xml:space="preserve">Free workshops for SMEs in Medellín's informal sector ($9,625)</w:t>
      </w:r>
    </w:p>
    <w:bookmarkEnd w:id="29"/>
    <w:bookmarkStart w:id="30" w:name="measuring-success"/>
    <w:p>
      <w:pPr>
        <w:pStyle w:val="Heading2"/>
      </w:pPr>
      <w:r>
        <w:t xml:space="preserve">8. Measuring Success</w:t>
      </w:r>
    </w:p>
    <w:p>
      <w:pPr>
        <w:pStyle w:val="FirstParagraph"/>
      </w:pPr>
      <w:r>
        <w:t xml:space="preserve">KPIs will track progress toward Colombia Medellín market penetration:</w:t>
      </w:r>
    </w:p>
    <w:p>
      <w:pPr>
        <w:numPr>
          <w:ilvl w:val="0"/>
          <w:numId w:val="1007"/>
        </w:numPr>
        <w:pStyle w:val="Compact"/>
      </w:pPr>
      <w:r>
        <w:rPr>
          <w:bCs/>
          <w:b/>
        </w:rPr>
        <w:t xml:space="preserve">Brand Visibility:</w:t>
      </w:r>
      <w:r>
        <w:t xml:space="preserve"> </w:t>
      </w:r>
      <w:r>
        <w:t xml:space="preserve">30% increase in branded searches for "Environmental Engineer Medellín" (Google Analytics).</w:t>
      </w:r>
    </w:p>
    <w:p>
      <w:pPr>
        <w:numPr>
          <w:ilvl w:val="0"/>
          <w:numId w:val="1007"/>
        </w:numPr>
        <w:pStyle w:val="Compact"/>
      </w:pPr>
      <w:r>
        <w:rPr>
          <w:bCs/>
          <w:b/>
        </w:rPr>
        <w:t xml:space="preserve">Client Acquisition:</w:t>
      </w:r>
      <w:r>
        <w:t xml:space="preserve"> </w:t>
      </w:r>
      <w:r>
        <w:t xml:space="preserve">12+ signed contracts by Q3 2024 (vs. target of 15).</w:t>
      </w:r>
    </w:p>
    <w:p>
      <w:pPr>
        <w:numPr>
          <w:ilvl w:val="0"/>
          <w:numId w:val="1007"/>
        </w:numPr>
        <w:pStyle w:val="Compact"/>
      </w:pPr>
      <w:r>
        <w:rPr>
          <w:bCs/>
          <w:b/>
        </w:rPr>
        <w:t xml:space="preserve">Social Impact:</w:t>
      </w:r>
      <w:r>
        <w:t xml:space="preserve"> </w:t>
      </w:r>
      <w:r>
        <w:t xml:space="preserve">500+ businesses trained in waste reduction practices through community workshops.</w:t>
      </w:r>
    </w:p>
    <w:bookmarkEnd w:id="30"/>
    <w:bookmarkStart w:id="31" w:name="Xffdb9dddc48848600a40380251f88b3f9ea7aac"/>
    <w:p>
      <w:pPr>
        <w:pStyle w:val="Heading2"/>
      </w:pPr>
      <w:r>
        <w:t xml:space="preserve">9. Conclusion: Environmental Engineering as Strategic Asset</w:t>
      </w:r>
    </w:p>
    <w:p>
      <w:pPr>
        <w:pStyle w:val="FirstParagraph"/>
      </w:pPr>
      <w:r>
        <w:t xml:space="preserve">This Marketing Plan positions the Environmental Engineer not merely as a service provider but as Colombia Medellín's critical catalyst for sustainable urban resilience. By deeply integrating with Medellín's unique environmental challenges—from managing the Aburra River basin to enabling tourism businesses' ESG compliance—this plan transforms regulatory necessity into competitive advantage. The 2024-2026 roadmap leverages Colombia’s national climate policies while delivering hyper-localized solutions, ensuring the Environmental Engineer becomes synonymous with Medellín's green transformation. As Medellín evolves from "City of Eternal Spring" to "Global Model for Urban Sustainability," this Marketing Plan ensures the Environmental Engineer stands at the forefront of that legacy.</w:t>
      </w:r>
    </w:p>
    <w:p>
      <w:pPr>
        <w:pStyle w:val="BodyText"/>
      </w:pPr>
      <w:r>
        <w:rPr>
          <w:bCs/>
          <w:b/>
        </w:rPr>
        <w:t xml:space="preserve">Word Count: 827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num w:numId="1000">
    <w:abstractNumId w:val="990"/>
  </w:num>
  <w:num w:numId="1001">
    <w:abstractNumId w:val="991"/>
  </w:num>
  <w:num w:numId="1002">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Environmental Engineer Services in Colombia Medellín</dc:title>
  <dc:creator/>
  <dc:language>en</dc:language>
  <cp:keywords/>
  <dcterms:created xsi:type="dcterms:W3CDTF">2026-07-24T19:35:02Z</dcterms:created>
  <dcterms:modified xsi:type="dcterms:W3CDTF">2026-07-24T19:35:02Z</dcterms:modified>
</cp:coreProperties>
</file>

<file path=docProps/custom.xml><?xml version="1.0" encoding="utf-8"?>
<Properties xmlns="http://schemas.openxmlformats.org/officeDocument/2006/custom-properties" xmlns:vt="http://schemas.openxmlformats.org/officeDocument/2006/docPropsVTypes"/>
</file>