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3" w:name="X4240ab17b246c3261322de3bea24be1d10c8cd3"/>
    <w:p>
      <w:pPr>
        <w:pStyle w:val="Heading1"/>
      </w:pPr>
      <w:r>
        <w:t xml:space="preserve">Comprehensive Marketing Plan for Environmental Engineering Services in Kazakhstan Almaty</w:t>
      </w:r>
    </w:p>
    <w:bookmarkStart w:id="20" w:name="executive-summary"/>
    <w:p>
      <w:pPr>
        <w:pStyle w:val="Heading2"/>
      </w:pPr>
      <w:r>
        <w:t xml:space="preserve">Executive Summary</w:t>
      </w:r>
    </w:p>
    <w:p>
      <w:pPr>
        <w:pStyle w:val="FirstParagraph"/>
      </w:pPr>
      <w:r>
        <w:t xml:space="preserve">This Marketing Plan outlines a strategic roadmap for positioning an independent Environmental Engineer as a premier sustainability solution provider in Kazakhstan's largest urban center, Almaty. With rapid industrialization, climate vulnerabilities, and growing regulatory pressures in Kazakhstan Almaty, demand for specialized environmental engineering services has reached critical levels. This plan targets $250K in first-year revenue by capturing 15% of the city's underserved environmental compliance and remediation market through data-driven client acquisition and culturally resonant positioning. The core proposition centers on transforming Almaty's environmental challenges into business opportunities for local industries while adhering to Kazakhstan's evolving environmental regulations.</w:t>
      </w:r>
    </w:p>
    <w:bookmarkEnd w:id="20"/>
    <w:bookmarkStart w:id="21" w:name="Xe0e1fbd456c844d6fcd9884de545d3de14fbaad"/>
    <w:p>
      <w:pPr>
        <w:pStyle w:val="Heading2"/>
      </w:pPr>
      <w:r>
        <w:t xml:space="preserve">Situation Analysis: Kazakhstan Almaty Market Context</w:t>
      </w:r>
    </w:p>
    <w:p>
      <w:pPr>
        <w:pStyle w:val="FirstParagraph"/>
      </w:pPr>
      <w:r>
        <w:t xml:space="preserve">Almaty, Kazakhstan's economic hub and cultural capital, faces acute environmental pressures. Industrial zones around the city generate 68% of national industrial waste (Kazakhstan Ministry of Ecology 2023), while air quality frequently exceeds WHO guidelines by 4.5x during winter months. Crucially, Kazakhstan's new Environmental Code (effective 2024) mandates strict emissions monitoring for all industrial facilities – creating immediate demand for certified Environmental Engineers. However, only 12% of Almaty-based engineering firms offer specialized environmental services with local regulatory expertise.</w:t>
      </w:r>
    </w:p>
    <w:p>
      <w:pPr>
        <w:pStyle w:val="BodyText"/>
      </w:pPr>
      <w:r>
        <w:t xml:space="preserve">Competitive landscape reveals a gap: International firms dominate high-end projects but lack cultural fluency, while domestic players often lack technical depth. A recent survey by the Almaty Chamber of Commerce found 73% of manufacturing clients struggle to find reliable Environmental Engineer services meeting Kazakhstani standards. This presents an opportunity for a locally embedded service provider who understands both international best practices and Kazakhstan Almaty's specific regulatory, linguistic, and operational context.</w:t>
      </w:r>
    </w:p>
    <w:bookmarkEnd w:id="21"/>
    <w:bookmarkStart w:id="22" w:name="marketing-objectives"/>
    <w:p>
      <w:pPr>
        <w:pStyle w:val="Heading2"/>
      </w:pPr>
      <w:r>
        <w:t xml:space="preserve">Marketing Objectives</w:t>
      </w:r>
    </w:p>
    <w:p>
      <w:pPr>
        <w:numPr>
          <w:ilvl w:val="0"/>
          <w:numId w:val="1001"/>
        </w:numPr>
        <w:pStyle w:val="Compact"/>
      </w:pPr>
      <w:r>
        <w:t xml:space="preserve">Secure 30+ active client contracts within 18 months (targeting manufacturing, construction, and energy sectors)</w:t>
      </w:r>
    </w:p>
    <w:p>
      <w:pPr>
        <w:numPr>
          <w:ilvl w:val="0"/>
          <w:numId w:val="1001"/>
        </w:numPr>
        <w:pStyle w:val="Compact"/>
      </w:pPr>
      <w:r>
        <w:t xml:space="preserve">Achieve 45% brand recognition among Almaty's industrial sector within two years</w:t>
      </w:r>
    </w:p>
    <w:p>
      <w:pPr>
        <w:numPr>
          <w:ilvl w:val="0"/>
          <w:numId w:val="1001"/>
        </w:numPr>
        <w:pStyle w:val="Compact"/>
      </w:pPr>
      <w:r>
        <w:t xml:space="preserve">Generate $250K in revenue by Year 1 through targeted service packages</w:t>
      </w:r>
    </w:p>
    <w:p>
      <w:pPr>
        <w:numPr>
          <w:ilvl w:val="0"/>
          <w:numId w:val="1001"/>
        </w:numPr>
        <w:pStyle w:val="Compact"/>
      </w:pPr>
      <w:r>
        <w:t xml:space="preserve">Establish thought leadership with at least 3 published position papers on Kazakhstan-specific environmental challenges</w:t>
      </w:r>
    </w:p>
    <w:bookmarkEnd w:id="22"/>
    <w:bookmarkStart w:id="23" w:name="Xda07b952515fb4f3578eb40363650fa658b393b"/>
    <w:p>
      <w:pPr>
        <w:pStyle w:val="Heading2"/>
      </w:pPr>
      <w:r>
        <w:t xml:space="preserve">Target Audience Segmentation (Kazakhstan Almaty Focus)</w:t>
      </w:r>
    </w:p>
    <w:p>
      <w:pPr>
        <w:pStyle w:val="FirstParagraph"/>
      </w:pPr>
      <w:r>
        <w:t xml:space="preserve">We focus on three high-value segments within the Kazakhstan Almaty ecosystem:</w:t>
      </w:r>
    </w:p>
    <w:p>
      <w:pPr>
        <w:numPr>
          <w:ilvl w:val="0"/>
          <w:numId w:val="1002"/>
        </w:numPr>
        <w:pStyle w:val="Compact"/>
      </w:pPr>
      <w:r>
        <w:rPr>
          <w:bCs/>
          <w:b/>
        </w:rPr>
        <w:t xml:space="preserve">Industrial Manufacturers (60% of target):</w:t>
      </w:r>
      <w:r>
        <w:t xml:space="preserve"> </w:t>
      </w:r>
      <w:r>
        <w:t xml:space="preserve">Factories producing textiles, food processing, and metallurgy requiring waste management compliance under Kazakhstan's new environmental regulations. These clients prioritize cost-effective solutions that prevent regulatory penalties.</w:t>
      </w:r>
    </w:p>
    <w:p>
      <w:pPr>
        <w:numPr>
          <w:ilvl w:val="0"/>
          <w:numId w:val="1002"/>
        </w:numPr>
        <w:pStyle w:val="Compact"/>
      </w:pPr>
      <w:r>
        <w:rPr>
          <w:bCs/>
          <w:b/>
        </w:rPr>
        <w:t xml:space="preserve">New Construction Developers (25%):</w:t>
      </w:r>
      <w:r>
        <w:t xml:space="preserve"> </w:t>
      </w:r>
      <w:r>
        <w:t xml:space="preserve">Companies building in Almaty's expanding zones (e.g., Karaganda Road corridor) needing EIA (Environmental Impact Assessment) compliance and green certification support.</w:t>
      </w:r>
    </w:p>
    <w:p>
      <w:pPr>
        <w:numPr>
          <w:ilvl w:val="0"/>
          <w:numId w:val="1002"/>
        </w:numPr>
        <w:pStyle w:val="Compact"/>
      </w:pPr>
      <w:r>
        <w:rPr>
          <w:bCs/>
          <w:b/>
        </w:rPr>
        <w:t xml:space="preserve">Government Entities &amp; Municipal Projects (15%):</w:t>
      </w:r>
      <w:r>
        <w:t xml:space="preserve"> </w:t>
      </w:r>
      <w:r>
        <w:t xml:space="preserve">Local authorities managing public infrastructure projects requiring Environmental Engineer validation for Kazakhstani standards, particularly in air quality monitoring.</w:t>
      </w:r>
    </w:p>
    <w:bookmarkEnd w:id="23"/>
    <w:bookmarkStart w:id="28" w:name="marketing-strategies-tactics"/>
    <w:p>
      <w:pPr>
        <w:pStyle w:val="Heading2"/>
      </w:pPr>
      <w:r>
        <w:t xml:space="preserve">Marketing Strategies &amp; Tactics</w:t>
      </w:r>
    </w:p>
    <w:bookmarkStart w:id="24" w:name="culturally-embedded-value-proposition"/>
    <w:p>
      <w:pPr>
        <w:pStyle w:val="Heading3"/>
      </w:pPr>
      <w:r>
        <w:t xml:space="preserve">1. Culturally Embedded Value Proposition</w:t>
      </w:r>
    </w:p>
    <w:p>
      <w:pPr>
        <w:pStyle w:val="FirstParagraph"/>
      </w:pPr>
      <w:r>
        <w:t xml:space="preserve">We position the Environmental Engineer as "The Kazakhstan Almaty Sustainability Partner" – emphasizing local expertise over generic international service. Key messaging highlights:</w:t>
      </w:r>
    </w:p>
    <w:p>
      <w:pPr>
        <w:numPr>
          <w:ilvl w:val="0"/>
          <w:numId w:val="1003"/>
        </w:numPr>
        <w:pStyle w:val="Compact"/>
      </w:pPr>
      <w:r>
        <w:t xml:space="preserve">"Navigating Kazakhstan's Environmental Code 2024 with Almaty-certified solutions"</w:t>
      </w:r>
    </w:p>
    <w:p>
      <w:pPr>
        <w:numPr>
          <w:ilvl w:val="0"/>
          <w:numId w:val="1003"/>
        </w:numPr>
        <w:pStyle w:val="Compact"/>
      </w:pPr>
      <w:r>
        <w:t xml:space="preserve">"Preventing fines through proactive compliance for your Almaty operations"</w:t>
      </w:r>
    </w:p>
    <w:p>
      <w:pPr>
        <w:numPr>
          <w:ilvl w:val="0"/>
          <w:numId w:val="1003"/>
        </w:numPr>
        <w:pStyle w:val="Compact"/>
      </w:pPr>
      <w:r>
        <w:t xml:space="preserve">"Solutions designed for our mountains, climate, and Kazakhstani business culture"</w:t>
      </w:r>
    </w:p>
    <w:bookmarkEnd w:id="24"/>
    <w:bookmarkStart w:id="25" w:name="localized-service-architecture"/>
    <w:p>
      <w:pPr>
        <w:pStyle w:val="Heading3"/>
      </w:pPr>
      <w:r>
        <w:t xml:space="preserve">2. Localized Service Architecture</w:t>
      </w:r>
    </w:p>
    <w:p>
      <w:pPr>
        <w:pStyle w:val="FirstParagraph"/>
      </w:pPr>
      <w:r>
        <w:t xml:space="preserve">All offerings are tailored to Kazakhstan Almaty's context:</w:t>
      </w:r>
    </w:p>
    <w:p>
      <w:pPr>
        <w:numPr>
          <w:ilvl w:val="0"/>
          <w:numId w:val="1004"/>
        </w:numPr>
        <w:pStyle w:val="Compact"/>
      </w:pPr>
      <w:r>
        <w:rPr>
          <w:bCs/>
          <w:b/>
        </w:rPr>
        <w:t xml:space="preserve">Compliance Audit Package:</w:t>
      </w:r>
      <w:r>
        <w:t xml:space="preserve"> </w:t>
      </w:r>
      <w:r>
        <w:t xml:space="preserve">$8,500 – Full assessment against Kazakhstani Environmental Code with actionable remediation plan for Almaty-based factories</w:t>
      </w:r>
    </w:p>
    <w:p>
      <w:pPr>
        <w:numPr>
          <w:ilvl w:val="0"/>
          <w:numId w:val="1004"/>
        </w:numPr>
        <w:pStyle w:val="Compact"/>
      </w:pPr>
      <w:r>
        <w:rPr>
          <w:bCs/>
          <w:b/>
        </w:rPr>
        <w:t xml:space="preserve">Municipal Project Support:</w:t>
      </w:r>
      <w:r>
        <w:t xml:space="preserve"> </w:t>
      </w:r>
      <w:r>
        <w:t xml:space="preserve">$12,000 – EIA preparation compliant with Kazakhstan's State Ecological Standards (GOST R 57834-2019)</w:t>
      </w:r>
    </w:p>
    <w:p>
      <w:pPr>
        <w:numPr>
          <w:ilvl w:val="0"/>
          <w:numId w:val="1004"/>
        </w:numPr>
        <w:pStyle w:val="Compact"/>
      </w:pPr>
      <w:r>
        <w:rPr>
          <w:bCs/>
          <w:b/>
        </w:rPr>
        <w:t xml:space="preserve">Climate Resilience Consultation:</w:t>
      </w:r>
      <w:r>
        <w:t xml:space="preserve"> </w:t>
      </w:r>
      <w:r>
        <w:t xml:space="preserve">$6,500 – Addressing Almaty-specific risks like snowmelt water contamination and winter air pollution</w:t>
      </w:r>
    </w:p>
    <w:bookmarkEnd w:id="25"/>
    <w:bookmarkStart w:id="26" w:name="hyperlocal-digital-community-engagement"/>
    <w:p>
      <w:pPr>
        <w:pStyle w:val="Heading3"/>
      </w:pPr>
      <w:r>
        <w:t xml:space="preserve">3. Hyperlocal Digital &amp; Community Engagement</w:t>
      </w:r>
    </w:p>
    <w:p>
      <w:pPr>
        <w:pStyle w:val="FirstParagraph"/>
      </w:pPr>
      <w:r>
        <w:t xml:space="preserve">We leverage Kazakhstan's digital landscape with culturally resonant tactics:</w:t>
      </w:r>
    </w:p>
    <w:p>
      <w:pPr>
        <w:numPr>
          <w:ilvl w:val="0"/>
          <w:numId w:val="1005"/>
        </w:numPr>
        <w:pStyle w:val="Compact"/>
      </w:pPr>
      <w:r>
        <w:rPr>
          <w:bCs/>
          <w:b/>
        </w:rPr>
        <w:t xml:space="preserve">Kazakh Language Content:</w:t>
      </w:r>
      <w:r>
        <w:t xml:space="preserve"> </w:t>
      </w:r>
      <w:r>
        <w:t xml:space="preserve">All marketing materials available in Kazakh and Russian, with English for international partners. Website features video testimonials from Almaty clients.</w:t>
      </w:r>
    </w:p>
    <w:p>
      <w:pPr>
        <w:numPr>
          <w:ilvl w:val="0"/>
          <w:numId w:val="1005"/>
        </w:numPr>
        <w:pStyle w:val="Compact"/>
      </w:pPr>
      <w:r>
        <w:rPr>
          <w:bCs/>
          <w:b/>
        </w:rPr>
        <w:t xml:space="preserve">Almaty Industry Partnerships:</w:t>
      </w:r>
      <w:r>
        <w:t xml:space="preserve"> </w:t>
      </w:r>
      <w:r>
        <w:t xml:space="preserve">Co-hosting "Sustainable Almaty" workshops with Aktau Energy, Shymkent Chemical Plant, and Almaty City Environmental Department – building trust through local credibility.</w:t>
      </w:r>
    </w:p>
    <w:p>
      <w:pPr>
        <w:numPr>
          <w:ilvl w:val="0"/>
          <w:numId w:val="1005"/>
        </w:numPr>
        <w:pStyle w:val="Compact"/>
      </w:pPr>
      <w:r>
        <w:rPr>
          <w:bCs/>
          <w:b/>
        </w:rPr>
        <w:t xml:space="preserve">TikTok/Telegram Targeting:</w:t>
      </w:r>
      <w:r>
        <w:t xml:space="preserve"> </w:t>
      </w:r>
      <w:r>
        <w:t xml:space="preserve">Using Kazakh-language hashtags (#ЭкологияАлматы #СертификатЭколога) to reach industrial managers on platforms dominant in Kazakhstan.</w:t>
      </w:r>
    </w:p>
    <w:bookmarkEnd w:id="26"/>
    <w:bookmarkStart w:id="27" w:name="regulatory-advocacy-as-marketing-tool"/>
    <w:p>
      <w:pPr>
        <w:pStyle w:val="Heading3"/>
      </w:pPr>
      <w:r>
        <w:t xml:space="preserve">4. Regulatory Advocacy as Marketing Tool</w:t>
      </w:r>
    </w:p>
    <w:p>
      <w:pPr>
        <w:pStyle w:val="FirstParagraph"/>
      </w:pPr>
      <w:r>
        <w:t xml:space="preserve">We actively participate in Kazakhstan's environmental policy development:</w:t>
      </w:r>
    </w:p>
    <w:p>
      <w:pPr>
        <w:numPr>
          <w:ilvl w:val="0"/>
          <w:numId w:val="1006"/>
        </w:numPr>
        <w:pStyle w:val="Compact"/>
      </w:pPr>
      <w:r>
        <w:t xml:space="preserve">Submitting evidence-based proposals to the Ministry of Ecology during regulatory consultations</w:t>
      </w:r>
    </w:p>
    <w:p>
      <w:pPr>
        <w:numPr>
          <w:ilvl w:val="0"/>
          <w:numId w:val="1006"/>
        </w:numPr>
        <w:pStyle w:val="Compact"/>
      </w:pPr>
      <w:r>
        <w:t xml:space="preserve">Hosting free webinars on "Implementing Kazakhstan's 2024 Environmental Code" – positioning as government-adjacent experts</w:t>
      </w:r>
    </w:p>
    <w:p>
      <w:pPr>
        <w:numPr>
          <w:ilvl w:val="0"/>
          <w:numId w:val="1006"/>
        </w:numPr>
        <w:pStyle w:val="Compact"/>
      </w:pPr>
      <w:r>
        <w:t xml:space="preserve">Publishing Almaty-specific case studies (e.g., "How a Textile Mill in Tien Shan District Reduced Emissions by 40%") for local media like Vremya KZ and 24.kz</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Percentage</w:t>
            </w:r>
          </w:p>
        </w:tc>
      </w:tr>
      <w:tr>
        <w:tc>
          <w:tcPr/>
          <w:p>
            <w:pPr>
              <w:pStyle w:val="Compact"/>
              <w:jc w:val="left"/>
            </w:pPr>
            <w:r>
              <w:t xml:space="preserve">Digital Marketing (Kazakh/English content, social ads)</w:t>
            </w:r>
          </w:p>
        </w:tc>
        <w:tc>
          <w:tcPr/>
          <w:p>
            <w:pPr>
              <w:pStyle w:val="Compact"/>
              <w:jc w:val="left"/>
            </w:pPr>
            <w:r>
              <w:t xml:space="preserve">$42,000</w:t>
            </w:r>
          </w:p>
        </w:tc>
        <w:tc>
          <w:tcPr/>
          <w:p>
            <w:pPr>
              <w:pStyle w:val="Compact"/>
              <w:jc w:val="left"/>
            </w:pPr>
            <w:r>
              <w:t xml:space="preserve">28%</w:t>
            </w:r>
          </w:p>
        </w:tc>
      </w:tr>
      <w:tr>
        <w:tc>
          <w:tcPr/>
          <w:p>
            <w:pPr>
              <w:pStyle w:val="Compact"/>
              <w:jc w:val="left"/>
            </w:pPr>
            <w:r>
              <w:t xml:space="preserve">Local Partnerships &amp; Events (workshops, government engagement)</w:t>
            </w:r>
          </w:p>
        </w:tc>
        <w:tc>
          <w:tcPr/>
          <w:p>
            <w:pPr>
              <w:pStyle w:val="Compact"/>
              <w:jc w:val="left"/>
            </w:pPr>
            <w:r>
              <w:t xml:space="preserve">$35,000</w:t>
            </w:r>
          </w:p>
        </w:tc>
        <w:tc>
          <w:tcPr/>
          <w:p>
            <w:pPr>
              <w:pStyle w:val="Compact"/>
              <w:jc w:val="left"/>
            </w:pPr>
            <w:r>
              <w:t xml:space="preserve">23%</w:t>
            </w:r>
          </w:p>
        </w:tc>
      </w:tr>
      <w:tr>
        <w:tc>
          <w:tcPr/>
          <w:p>
            <w:pPr>
              <w:pStyle w:val="Compact"/>
              <w:jc w:val="left"/>
            </w:pPr>
            <w:r>
              <w:t xml:space="preserve">Content Development (Case studies, Kazakh-language materials)</w:t>
            </w:r>
          </w:p>
        </w:tc>
        <w:tc>
          <w:tcPr/>
          <w:p>
            <w:pPr>
              <w:pStyle w:val="Compact"/>
              <w:jc w:val="left"/>
            </w:pPr>
            <w:r>
              <w:t xml:space="preserve">$28,000</w:t>
            </w:r>
          </w:p>
        </w:tc>
        <w:tc>
          <w:tcPr/>
          <w:p>
            <w:pPr>
              <w:pStyle w:val="Compact"/>
              <w:jc w:val="left"/>
            </w:pPr>
            <w:r>
              <w:t xml:space="preserve">19%</w:t>
            </w:r>
          </w:p>
        </w:tc>
      </w:tr>
      <w:tr>
        <w:tc>
          <w:tcPr/>
          <w:p>
            <w:pPr>
              <w:pStyle w:val="Compact"/>
              <w:jc w:val="left"/>
            </w:pPr>
            <w:r>
              <w:t xml:space="preserve">Regulatory Advocacy &amp; Thought Leadership</w:t>
            </w:r>
          </w:p>
        </w:tc>
        <w:tc>
          <w:tcPr/>
          <w:p>
            <w:pPr>
              <w:pStyle w:val="Compact"/>
              <w:jc w:val="left"/>
            </w:pPr>
            <w:r>
              <w:t xml:space="preserve">$25,000</w:t>
            </w:r>
          </w:p>
        </w:tc>
        <w:tc>
          <w:tcPr/>
          <w:p>
            <w:pPr>
              <w:pStyle w:val="Compact"/>
              <w:jc w:val="left"/>
            </w:pPr>
            <w:r>
              <w:t xml:space="preserve">17%</w:t>
            </w:r>
          </w:p>
        </w:tc>
      </w:tr>
      <w:tr>
        <w:tc>
          <w:tcPr/>
          <w:p>
            <w:pPr>
              <w:pStyle w:val="Compact"/>
              <w:jc w:val="left"/>
            </w:pPr>
            <w:r>
              <w:t xml:space="preserve">Miscellaneous (Translation, travel)</w:t>
            </w:r>
          </w:p>
        </w:tc>
        <w:tc>
          <w:tcPr/>
          <w:p>
            <w:pPr>
              <w:pStyle w:val="Compact"/>
              <w:jc w:val="left"/>
            </w:pPr>
            <w:r>
              <w:t xml:space="preserve">$20,000</w:t>
            </w:r>
          </w:p>
        </w:tc>
        <w:tc>
          <w:tcPr/>
          <w:p>
            <w:pPr>
              <w:pStyle w:val="Compact"/>
              <w:jc w:val="left"/>
            </w:pPr>
            <w:r>
              <w:t xml:space="preserve">13%</w:t>
            </w:r>
          </w:p>
        </w:tc>
      </w:tr>
    </w:tbl>
    <w:bookmarkEnd w:id="29"/>
    <w:bookmarkStart w:id="30" w:name="Xee65645d8781d585e7e2dc7c7d31f8c44bf9fc9"/>
    <w:p>
      <w:pPr>
        <w:pStyle w:val="Heading2"/>
      </w:pPr>
      <w:r>
        <w:t xml:space="preserve">Implementation Timeline (Kazakhstan Almaty Specific)</w:t>
      </w:r>
    </w:p>
    <w:p>
      <w:pPr>
        <w:pStyle w:val="FirstParagraph"/>
      </w:pPr>
      <w:r>
        <w:rPr>
          <w:bCs/>
          <w:b/>
        </w:rPr>
        <w:t xml:space="preserve">Q1 2024:</w:t>
      </w:r>
      <w:r>
        <w:t xml:space="preserve"> </w:t>
      </w:r>
      <w:r>
        <w:t xml:space="preserve">Launch Kazakh-language website; secure partnerships with Almaty Chamber of Commerce; begin regulatory engagement with Ministry of Ecology.</w:t>
      </w:r>
    </w:p>
    <w:p>
      <w:pPr>
        <w:pStyle w:val="BodyText"/>
      </w:pPr>
      <w:r>
        <w:rPr>
          <w:bCs/>
          <w:b/>
        </w:rPr>
        <w:t xml:space="preserve">Q2 2024:</w:t>
      </w:r>
      <w:r>
        <w:t xml:space="preserve"> </w:t>
      </w:r>
      <w:r>
        <w:t xml:space="preserve">Host first "Sustainable Almaty" workshop at Aktau Energy facility; publish initial case study on industrial waste compliance.</w:t>
      </w:r>
    </w:p>
    <w:p>
      <w:pPr>
        <w:pStyle w:val="BodyText"/>
      </w:pPr>
      <w:r>
        <w:rPr>
          <w:bCs/>
          <w:b/>
        </w:rPr>
        <w:t xml:space="preserve">Q3 2024:</w:t>
      </w:r>
      <w:r>
        <w:t xml:space="preserve"> </w:t>
      </w:r>
      <w:r>
        <w:t xml:space="preserve">Roll out targeted social media campaign using #ЭкологияАлматы; secure three municipal contracts for EIA support.</w:t>
      </w:r>
    </w:p>
    <w:p>
      <w:pPr>
        <w:pStyle w:val="BodyText"/>
      </w:pPr>
      <w:r>
        <w:rPr>
          <w:bCs/>
          <w:b/>
        </w:rPr>
        <w:t xml:space="preserve">Q4 2024:</w:t>
      </w:r>
      <w:r>
        <w:t xml:space="preserve"> </w:t>
      </w:r>
      <w:r>
        <w:t xml:space="preserve">Analyze client retention metrics; publish Year 1 impact report showing Almaty-specific environmental improvements (e.g., "15 factories reduced emissions by avg. 30%").</w:t>
      </w:r>
    </w:p>
    <w:bookmarkEnd w:id="30"/>
    <w:bookmarkStart w:id="31" w:name="measurement-evaluation"/>
    <w:p>
      <w:pPr>
        <w:pStyle w:val="Heading2"/>
      </w:pPr>
      <w:r>
        <w:t xml:space="preserve">Measurement &amp; Evaluation</w:t>
      </w:r>
    </w:p>
    <w:p>
      <w:pPr>
        <w:pStyle w:val="FirstParagraph"/>
      </w:pPr>
      <w:r>
        <w:t xml:space="preserve">We track success through Kazakhstan-focused KPIs:</w:t>
      </w:r>
    </w:p>
    <w:p>
      <w:pPr>
        <w:numPr>
          <w:ilvl w:val="0"/>
          <w:numId w:val="1007"/>
        </w:numPr>
        <w:pStyle w:val="Compact"/>
      </w:pPr>
      <w:r>
        <w:rPr>
          <w:bCs/>
          <w:b/>
        </w:rPr>
        <w:t xml:space="preserve">Regulatory Impact:</w:t>
      </w:r>
      <w:r>
        <w:t xml:space="preserve"> </w:t>
      </w:r>
      <w:r>
        <w:t xml:space="preserve">Number of clients avoiding penalties through our services (primary metric)</w:t>
      </w:r>
    </w:p>
    <w:p>
      <w:pPr>
        <w:numPr>
          <w:ilvl w:val="0"/>
          <w:numId w:val="1007"/>
        </w:numPr>
        <w:pStyle w:val="Compact"/>
      </w:pPr>
      <w:r>
        <w:rPr>
          <w:bCs/>
          <w:b/>
        </w:rPr>
        <w:t xml:space="preserve">Local Reach:</w:t>
      </w:r>
      <w:r>
        <w:t xml:space="preserve"> </w:t>
      </w:r>
      <w:r>
        <w:t xml:space="preserve">% of clients from Almaty vs. other regions (target: 85% by Year 1)</w:t>
      </w:r>
    </w:p>
    <w:p>
      <w:pPr>
        <w:numPr>
          <w:ilvl w:val="0"/>
          <w:numId w:val="1007"/>
        </w:numPr>
        <w:pStyle w:val="Compact"/>
      </w:pPr>
      <w:r>
        <w:rPr>
          <w:bCs/>
          <w:b/>
        </w:rPr>
        <w:t xml:space="preserve">Cultural Resonance:</w:t>
      </w:r>
      <w:r>
        <w:t xml:space="preserve"> </w:t>
      </w:r>
      <w:r>
        <w:t xml:space="preserve">Engagement rates on Kazakh-language content (&gt;35% vs. industry avg. 22%)</w:t>
      </w:r>
    </w:p>
    <w:p>
      <w:pPr>
        <w:numPr>
          <w:ilvl w:val="0"/>
          <w:numId w:val="1007"/>
        </w:numPr>
        <w:pStyle w:val="Compact"/>
      </w:pPr>
      <w:r>
        <w:rPr>
          <w:bCs/>
          <w:b/>
        </w:rPr>
        <w:t xml:space="preserve">Industry Recognition:</w:t>
      </w:r>
      <w:r>
        <w:t xml:space="preserve"> </w:t>
      </w:r>
      <w:r>
        <w:t xml:space="preserve">Invitations to speak at Almaty Environmental Council meetings</w:t>
      </w:r>
    </w:p>
    <w:bookmarkEnd w:id="31"/>
    <w:bookmarkStart w:id="32" w:name="X5a51490bc8ea3f97062fd289d87e8d9415f1e1a"/>
    <w:p>
      <w:pPr>
        <w:pStyle w:val="Heading2"/>
      </w:pPr>
      <w:r>
        <w:t xml:space="preserve">Conclusion: Sustainability as Competitive Advantage in Kazakhstan Almaty</w:t>
      </w:r>
    </w:p>
    <w:p>
      <w:pPr>
        <w:pStyle w:val="FirstParagraph"/>
      </w:pPr>
      <w:r>
        <w:t xml:space="preserve">This Marketing Plan positions the Environmental Engineer not merely as a service provider, but as an indispensable partner navigating Kazakhstan's evolving environmental landscape. By embedding cultural intelligence, regulatory expertise, and hyperlocal solutions within every marketing initiative, we transform "Environmental Engineer" into a trusted catalyst for business growth in Almaty. As Kazakhstan accelerates its green transition with national commitments like the "Green Economy Roadmap 2050," this strategic focus on Almaty – where environmental challenges intersect with economic opportunity – ensures sustainable revenue growth while contributing to the city's ecological resilience. The success of this plan will be measured not just in contracts secured, but in tangible improvements to Almaty's air, water, and industrial sustainability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Kazakhstan Almaty</dc:title>
  <dc:creator/>
  <dc:language>en</dc:language>
  <cp:keywords/>
  <dcterms:created xsi:type="dcterms:W3CDTF">2026-07-23T09:12:38Z</dcterms:created>
  <dcterms:modified xsi:type="dcterms:W3CDTF">2026-07-23T09:12:38Z</dcterms:modified>
</cp:coreProperties>
</file>

<file path=docProps/custom.xml><?xml version="1.0" encoding="utf-8"?>
<Properties xmlns="http://schemas.openxmlformats.org/officeDocument/2006/custom-properties" xmlns:vt="http://schemas.openxmlformats.org/officeDocument/2006/docPropsVTypes"/>
</file>