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Mexico</w:t>
      </w:r>
      <w:r>
        <w:t xml:space="preserve"> </w:t>
      </w:r>
      <w:r>
        <w:t xml:space="preserve">City</w:t>
      </w:r>
    </w:p>
    <w:bookmarkStart w:id="29" w:name="Xee74b896bd7fe3eea71928b578635de4604bdea"/>
    <w:p>
      <w:pPr>
        <w:pStyle w:val="Heading1"/>
      </w:pPr>
      <w:r>
        <w:t xml:space="preserve">Comprehensive Marketing Plan for Environmental Engineer Services in Mexico City, Mexico</w:t>
      </w:r>
    </w:p>
    <w:bookmarkStart w:id="20" w:name="executive-summary"/>
    <w:p>
      <w:pPr>
        <w:pStyle w:val="Heading2"/>
      </w:pPr>
      <w:r>
        <w:t xml:space="preserve">Executive Summary</w:t>
      </w:r>
    </w:p>
    <w:p>
      <w:pPr>
        <w:pStyle w:val="FirstParagraph"/>
      </w:pPr>
      <w:r>
        <w:t xml:space="preserve">This Marketing Plan outlines a strategic approach to establish and grow Environmental Engineer services within the competitive landscape of Mexico City, Mexico. Recognizing the urgent environmental challenges facing one of the world's largest urban centers—including air pollution, water scarcity, waste management crises, and climate vulnerability—this plan positions our firm as the premier solution provider. Our mission is to deliver innovative environmental engineering solutions that align with Mexico City's regulatory framework (e.g., NOM-013-SEMARNAT) while driving sustainable urban development. The core strategy targets municipal government contracts, corporate ESG initiatives, and community resilience projects across Mexico City.</w:t>
      </w:r>
    </w:p>
    <w:bookmarkEnd w:id="20"/>
    <w:bookmarkStart w:id="21" w:name="Xb7bbed647f5d885a1b4cad538c7459e0633ee1c"/>
    <w:p>
      <w:pPr>
        <w:pStyle w:val="Heading2"/>
      </w:pPr>
      <w:r>
        <w:t xml:space="preserve">Market Analysis: Environmental Imperatives in Mexico City</w:t>
      </w:r>
    </w:p>
    <w:p>
      <w:pPr>
        <w:pStyle w:val="FirstParagraph"/>
      </w:pPr>
      <w:r>
        <w:t xml:space="preserve">Mexico City's population of 21 million residents generates unprecedented environmental pressures. Air quality index (AQI) levels frequently exceed WHO safety thresholds by 5x, groundwater depletion reaches 3.7m³/year, and waste generation exceeds 12,000 tons daily. The city's commitment to its Climate Action Plan (2033) and the National Strategy for Sustainable Development creates a $4.2B market opportunity for Environmental Engineer services. Key trends include: (1) Mandatory corporate sustainability reporting under Mexico's new Environmental Management Law, (2) Municipal investments in green infrastructure ($500M allocated to 2025), and (3) Rising public demand for eco-certified urban solutions. Competitors remain fragmented, with only 3 major firms offering integrated engineering services across all pollution domains—presenting a clear gap for our specialized approach.</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Mexico City:</w:t>
      </w:r>
    </w:p>
    <w:p>
      <w:pPr>
        <w:numPr>
          <w:ilvl w:val="0"/>
          <w:numId w:val="1001"/>
        </w:numPr>
        <w:pStyle w:val="Compact"/>
      </w:pPr>
      <w:r>
        <w:rPr>
          <w:bCs/>
          <w:b/>
        </w:rPr>
        <w:t xml:space="preserve">Municipal Government Entities</w:t>
      </w:r>
      <w:r>
        <w:t xml:space="preserve">: Secretaría del Medio Ambiente (SEDEMA), Instituto Mexicano de Tecnología del Agua (IMTA). They seek turnkey solutions for air quality monitoring networks and waste-to-energy facilities.</w:t>
      </w:r>
    </w:p>
    <w:p>
      <w:pPr>
        <w:numPr>
          <w:ilvl w:val="0"/>
          <w:numId w:val="1001"/>
        </w:numPr>
        <w:pStyle w:val="Compact"/>
      </w:pPr>
      <w:r>
        <w:rPr>
          <w:bCs/>
          <w:b/>
        </w:rPr>
        <w:t xml:space="preserve">Corporate Clients</w:t>
      </w:r>
      <w:r>
        <w:t xml:space="preserve">: Multinationals (e.g., Coca-Cola, Siemens) operating in Mexico City requiring ISO 14001 compliance and carbon-neutral operations. Over 68% of Fortune 500 companies in the city now mandate ESG reporting.</w:t>
      </w:r>
    </w:p>
    <w:p>
      <w:pPr>
        <w:numPr>
          <w:ilvl w:val="0"/>
          <w:numId w:val="1001"/>
        </w:numPr>
        <w:pStyle w:val="Compact"/>
      </w:pPr>
      <w:r>
        <w:rPr>
          <w:bCs/>
          <w:b/>
        </w:rPr>
        <w:t xml:space="preserve">Community Cooperatives</w:t>
      </w:r>
      <w:r>
        <w:t xml:space="preserve">: Neighborhood associations (comunidades) managing urban gardens and rainwater harvesting systems under Mexico City's "Green Agenda" program. These clients need cost-effective, scalable Environmental Engineer support.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5 government contracts with SEDEMA/IMTA totaling $1.8M</w:t>
      </w:r>
    </w:p>
    <w:bookmarkEnd w:id="23"/>
    <w:bookmarkStart w:id="24" w:name="marketing-strategies-tactics"/>
    <w:p>
      <w:pPr>
        <w:pStyle w:val="Heading2"/>
      </w:pPr>
      <w:r>
        <w:t xml:space="preserve">Marketing Strategies &amp; Tactics</w:t>
      </w:r>
    </w:p>
    <w:p>
      <w:pPr>
        <w:pStyle w:val="FirstParagraph"/>
      </w:pPr>
      <w:r>
        <w:rPr>
          <w:bCs/>
          <w:b/>
        </w:rPr>
        <w:t xml:space="preserve">Brand Positioning:</w:t>
      </w:r>
      <w:r>
        <w:t xml:space="preserve"> </w:t>
      </w:r>
      <w:r>
        <w:t xml:space="preserve">"Mexico City’s Trusted Environmental Engineer Partner for Urban Resilience" – emphasizing local expertise, regulatory mastery, and community impact. All messaging will explicitly reference Mexico City's unique challenges (e.g., "Solutions designed for the Valley of Mexico’s atmospheric inversion").</w:t>
      </w:r>
    </w:p>
    <w:p>
      <w:pPr>
        <w:pStyle w:val="BodyText"/>
      </w:pPr>
      <w:r>
        <w:rPr>
          <w:bCs/>
          <w:b/>
        </w:rPr>
        <w:t xml:space="preserve">Digital Marketing:</w:t>
      </w:r>
    </w:p>
    <w:p>
      <w:pPr>
        <w:numPr>
          <w:ilvl w:val="0"/>
          <w:numId w:val="1003"/>
        </w:numPr>
        <w:pStyle w:val="Compact"/>
      </w:pPr>
      <w:r>
        <w:t xml:space="preserve">SEO-optimized content targeting keywords: "Environmental Engineer Mexico City", "ESG consulting Mexico City", "air quality solutions Mexico City"</w:t>
      </w:r>
    </w:p>
    <w:p>
      <w:pPr>
        <w:numPr>
          <w:ilvl w:val="0"/>
          <w:numId w:val="1003"/>
        </w:numPr>
        <w:pStyle w:val="Compact"/>
      </w:pPr>
      <w:r>
        <w:t xml:space="preserve">Geo-targeted LinkedIn campaigns for municipal procurement officers and sustainability managers in Mexico City</w:t>
      </w:r>
    </w:p>
    <w:p>
      <w:pPr>
        <w:numPr>
          <w:ilvl w:val="0"/>
          <w:numId w:val="1003"/>
        </w:numPr>
        <w:pStyle w:val="Compact"/>
      </w:pPr>
      <w:r>
        <w:t xml:space="preserve">Sponsored webinars on "Mexico City’s Water Security Crisis" featuring our Environmental Engineer team</w:t>
      </w:r>
    </w:p>
    <w:p>
      <w:pPr>
        <w:pStyle w:val="FirstParagraph"/>
      </w:pPr>
      <w:r>
        <w:rPr>
          <w:bCs/>
          <w:b/>
        </w:rPr>
        <w:t xml:space="preserve">Strategic Partnerships:</w:t>
      </w:r>
    </w:p>
    <w:p>
      <w:pPr>
        <w:numPr>
          <w:ilvl w:val="0"/>
          <w:numId w:val="1004"/>
        </w:numPr>
        <w:pStyle w:val="Compact"/>
      </w:pPr>
      <w:r>
        <w:t xml:space="preserve">Collaborate with Universidad Nacional Autónoma de México (UNAM) for joint research on urban air pollution, positioning our Environmental Engineer staff as thought leaders.</w:t>
      </w:r>
    </w:p>
    <w:p>
      <w:pPr>
        <w:numPr>
          <w:ilvl w:val="0"/>
          <w:numId w:val="1004"/>
        </w:numPr>
        <w:pStyle w:val="Compact"/>
      </w:pPr>
      <w:r>
        <w:t xml:space="preserve">Form alliances with Mexico City-based NGOs (e.g., Fundación Vida Silvestre) for community projects, enhancing local credibility.</w:t>
      </w:r>
    </w:p>
    <w:p>
      <w:pPr>
        <w:pStyle w:val="FirstParagraph"/>
      </w:pPr>
      <w:r>
        <w:rPr>
          <w:bCs/>
          <w:b/>
        </w:rPr>
        <w:t xml:space="preserve">Community Engagement:</w:t>
      </w:r>
      <w:r>
        <w:t xml:space="preserve"> </w:t>
      </w:r>
      <w:r>
        <w:t xml:space="preserve">Launch "Green Neighborhood Program" in 3 high-pollution zones (Iztapalapa, Tláhuac, Azcapotzalco), offering free Environmental Engineer consultations to residents. This builds grassroots trust while generating case studies for our Mexico City marketing materials.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Target Outcome</w:t>
      </w:r>
    </w:p>
    <w:p>
      <w:pPr>
        <w:pStyle w:val="BodyText"/>
      </w:pPr>
      <w:r>
        <w:t xml:space="preserve">Digital Advertising (Google/LI)</w:t>
      </w:r>
    </w:p>
    <w:p>
      <w:pPr>
        <w:pStyle w:val="BodyText"/>
      </w:pPr>
      <w:r>
        <w:t xml:space="preserve">35%</w:t>
      </w:r>
    </w:p>
    <w:p>
      <w:pPr>
        <w:pStyle w:val="BodyText"/>
      </w:pPr>
      <w:r>
        <w:t xml:space="preserve">Municipal lead generation (150+ qualified contacts)</w:t>
      </w:r>
    </w:p>
    <w:p>
      <w:pPr>
        <w:pStyle w:val="BodyText"/>
      </w:pPr>
      <w:r>
        <w:t xml:space="preserve">Community Programs</w:t>
      </w:r>
    </w:p>
    <w:p>
      <w:pPr>
        <w:pStyle w:val="BodyText"/>
      </w:pPr>
      <w:r>
        <w:t xml:space="preserve">25%</w:t>
      </w:r>
    </w:p>
    <w:p>
      <w:pPr>
        <w:pStyle w:val="BodyText"/>
      </w:pPr>
      <w:r>
        <w:t xml:space="preserve">Growth in local brand recognition (40% increase)</w:t>
      </w:r>
    </w:p>
    <w:p>
      <w:pPr>
        <w:pStyle w:val="BodyText"/>
      </w:pPr>
      <w:r>
        <w:t xml:space="preserve">Industry Partnerships</w:t>
      </w:r>
    </w:p>
    <w:p>
      <w:pPr>
        <w:pStyle w:val="BodyText"/>
      </w:pPr>
      <w:r>
        <w:t xml:space="preserve">20%</w:t>
      </w:r>
    </w:p>
    <w:p>
      <w:pPr>
        <w:pStyle w:val="BodyText"/>
      </w:pPr>
      <w:r>
        <w:t xml:space="preserve">Sponsor 3 Mexico City sustainability forums</w:t>
      </w:r>
    </w:p>
    <w:p>
      <w:pPr>
        <w:pStyle w:val="BodyText"/>
      </w:pPr>
      <w:r>
        <w:t xml:space="preserve">Content Marketing</w:t>
      </w:r>
    </w:p>
    <w:p>
      <w:pPr>
        <w:pStyle w:val="BodyText"/>
      </w:pPr>
      <w:r>
        <w:t xml:space="preserve">15%</w:t>
      </w:r>
    </w:p>
    <w:p>
      <w:pPr>
        <w:pStyle w:val="BodyText"/>
      </w:pPr>
      <w:r>
        <w:t xml:space="preserve">Publish 6 Mexico City-specific case studies</w:t>
      </w:r>
    </w:p>
    <w:p>
      <w:pPr>
        <w:pStyle w:val="BodyText"/>
      </w:pPr>
      <w:r>
        <w:rPr>
          <w:bCs/>
          <w:b/>
        </w:rPr>
        <w:t xml:space="preserve">Total</w:t>
      </w:r>
    </w:p>
    <w:p>
      <w:pPr>
        <w:pStyle w:val="BodyText"/>
      </w:pPr>
      <w:r>
        <w:rPr>
          <w:bCs/>
          <w:b/>
        </w:rPr>
        <w:t xml:space="preserve">100%</w:t>
      </w:r>
    </w:p>
    <w:p>
      <w:pPr>
        <w:pStyle w:val="BodyText"/>
      </w:pPr>
      <w:r>
        <w:t xml:space="preserve"> </w:t>
      </w:r>
    </w:p>
    <w:bookmarkEnd w:id="25"/>
    <w:bookmarkStart w:id="26" w:name="implementation-timeline"/>
    <w:p>
      <w:pPr>
        <w:pStyle w:val="Heading2"/>
      </w:pPr>
      <w:r>
        <w:t xml:space="preserve">Implementation Timeline</w:t>
      </w:r>
    </w:p>
    <w:p>
      <w:pPr>
        <w:pStyle w:val="FirstParagraph"/>
      </w:pPr>
      <w:r>
        <w:rPr>
          <w:iCs/>
          <w:i/>
        </w:rPr>
        <w:t xml:space="preserve">Q1 2024:</w:t>
      </w:r>
      <w:r>
        <w:t xml:space="preserve"> </w:t>
      </w:r>
      <w:r>
        <w:t xml:space="preserve">Finalize UNAM partnership; launch SEO campaign targeting Mexico City environmental keywords; initiate community program in Iztapalapa.</w:t>
      </w:r>
    </w:p>
    <w:p>
      <w:pPr>
        <w:pStyle w:val="BodyText"/>
      </w:pPr>
      <w:r>
        <w:rPr>
          <w:iCs/>
          <w:i/>
        </w:rPr>
        <w:t xml:space="preserve">Q2 2024:</w:t>
      </w:r>
      <w:r>
        <w:t xml:space="preserve"> </w:t>
      </w:r>
      <w:r>
        <w:t xml:space="preserve">Secure first SEDEMA pilot project (waste management analytics); host "Mexico City Air Quality Summit" with key municipal stakeholders.</w:t>
      </w:r>
    </w:p>
    <w:p>
      <w:pPr>
        <w:pStyle w:val="BodyText"/>
      </w:pPr>
      <w:r>
        <w:rPr>
          <w:iCs/>
          <w:i/>
        </w:rPr>
        <w:t xml:space="preserve">Q3 2024:</w:t>
      </w:r>
      <w:r>
        <w:t xml:space="preserve"> </w:t>
      </w:r>
      <w:r>
        <w:t xml:space="preserve">Expand corporate client acquisition through LinkedIn campaigns; publish case study: "Environmental Engineer Impact on Xochimilco Water Restoration."</w:t>
      </w:r>
    </w:p>
    <w:p>
      <w:pPr>
        <w:pStyle w:val="BodyText"/>
      </w:pPr>
      <w:r>
        <w:rPr>
          <w:iCs/>
          <w:i/>
        </w:rPr>
        <w:t xml:space="preserve">Q4 2024:</w:t>
      </w:r>
      <w:r>
        <w:t xml:space="preserve"> </w:t>
      </w:r>
      <w:r>
        <w:t xml:space="preserve">Evaluate Mexico City market penetration; adjust strategy based on ESG regulatory changes.</w:t>
      </w:r>
    </w:p>
    <w:bookmarkEnd w:id="26"/>
    <w:bookmarkStart w:id="27" w:name="evaluation-metrics"/>
    <w:p>
      <w:pPr>
        <w:pStyle w:val="Heading2"/>
      </w:pPr>
      <w:r>
        <w:t xml:space="preserve">Evaluation Metrics</w:t>
      </w:r>
    </w:p>
    <w:p>
      <w:pPr>
        <w:pStyle w:val="FirstParagraph"/>
      </w:pPr>
      <w:r>
        <w:t xml:space="preserve">We will track success through:</w:t>
      </w:r>
    </w:p>
    <w:p>
      <w:pPr>
        <w:numPr>
          <w:ilvl w:val="0"/>
          <w:numId w:val="1005"/>
        </w:numPr>
        <w:pStyle w:val="Compact"/>
      </w:pPr>
      <w:r>
        <w:rPr>
          <w:bCs/>
          <w:b/>
        </w:rPr>
        <w:t xml:space="preserve">Lead Quality Score:</w:t>
      </w:r>
      <w:r>
        <w:t xml:space="preserve"> </w:t>
      </w:r>
      <w:r>
        <w:t xml:space="preserve">% of leads from Mexico City government/industry (Target: ≥40%)</w:t>
      </w:r>
    </w:p>
    <w:p>
      <w:pPr>
        <w:numPr>
          <w:ilvl w:val="0"/>
          <w:numId w:val="1005"/>
        </w:numPr>
        <w:pStyle w:val="Compact"/>
      </w:pPr>
      <w:r>
        <w:rPr>
          <w:bCs/>
          <w:b/>
        </w:rPr>
        <w:t xml:space="preserve">Client Retention Rate:</w:t>
      </w:r>
      <w:r>
        <w:t xml:space="preserve"> </w:t>
      </w:r>
      <w:r>
        <w:t xml:space="preserve">Minimum 85% for corporate contracts (aligned with Mexico City's 1-year service standards)</w:t>
      </w:r>
    </w:p>
    <w:p>
      <w:pPr>
        <w:numPr>
          <w:ilvl w:val="0"/>
          <w:numId w:val="1005"/>
        </w:numPr>
        <w:pStyle w:val="Compact"/>
      </w:pPr>
      <w:r>
        <w:rPr>
          <w:bCs/>
          <w:b/>
        </w:rPr>
        <w:t xml:space="preserve">Mexico City Market Share:</w:t>
      </w:r>
      <w:r>
        <w:t xml:space="preserve"> </w:t>
      </w:r>
      <w:r>
        <w:t xml:space="preserve">Measured via government procurement databases (Target: 12% by Year-End)</w:t>
      </w:r>
    </w:p>
    <w:p>
      <w:pPr>
        <w:numPr>
          <w:ilvl w:val="0"/>
          <w:numId w:val="1005"/>
        </w:numPr>
        <w:pStyle w:val="Compact"/>
      </w:pPr>
      <w:r>
        <w:rPr>
          <w:bCs/>
          <w:b/>
        </w:rPr>
        <w:t xml:space="preserve">Brand Sentiment in Mexico City:</w:t>
      </w:r>
      <w:r>
        <w:t xml:space="preserve"> </w:t>
      </w:r>
      <w:r>
        <w:t xml:space="preserve">Positive mentions in local media (e.g., Reforma, Excélsior) – Target: +35% YoY</w:t>
      </w:r>
    </w:p>
    <w:bookmarkEnd w:id="27"/>
    <w:bookmarkStart w:id="28" w:name="conclusion"/>
    <w:p>
      <w:pPr>
        <w:pStyle w:val="Heading2"/>
      </w:pPr>
      <w:r>
        <w:t xml:space="preserve">Conclusion</w:t>
      </w:r>
    </w:p>
    <w:p>
      <w:pPr>
        <w:pStyle w:val="FirstParagraph"/>
      </w:pPr>
      <w:r>
        <w:t xml:space="preserve">This Marketing Plan strategically positions our Environmental Engineer services as indispensable for Mexico City’s sustainability journey. By focusing on hyper-local challenges—from the city's infamous air pollution to its water security crises—we transform environmental engineering from a technical service into a catalyst for urban resilience. Every tactic reinforces "Mexico City" as the central context, ensuring all marketing assets resonate with local urgency and regulatory reality. As Mexico City accelerates toward carbon neutrality by 2040, our Environmental Engineer firm will be recognized not merely as a vendor, but as an essential partner in building a livable future for its 21 million residents. The success of this Marketing Plan will directly contribute to transforming Mexico City into a global model for urban environmental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Mexico City</dc:title>
  <dc:creator/>
  <dc:language>en</dc:language>
  <cp:keywords/>
  <dcterms:created xsi:type="dcterms:W3CDTF">2026-07-21T10:34:31Z</dcterms:created>
  <dcterms:modified xsi:type="dcterms:W3CDTF">2026-07-21T10:34:31Z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