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Casablanca,</w:t>
      </w:r>
      <w:r>
        <w:t xml:space="preserve"> </w:t>
      </w:r>
      <w:r>
        <w:t xml:space="preserve">Morocco</w:t>
      </w:r>
    </w:p>
    <w:bookmarkStart w:id="31" w:name="Xd05cce4d9b65d33b8166111323feaff6afc448b"/>
    <w:p>
      <w:pPr>
        <w:pStyle w:val="Heading1"/>
      </w:pPr>
      <w:r>
        <w:t xml:space="preserve">Comprehensive Marketing Plan for Environmental Engineering Services in Casablanca, Morocco</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engineering consultancy in Casablanca, Morocco. As Morocco accelerates its commitment to sustainable development under the National Strategy for Sustainable Development (NSDS 2030) and the Green Growth initiative, demand for specialized environmental engineering services has surged. This plan targets key sectors including construction, manufacturing, municipal authorities, and renewable energy projects in Casablanca – Morocco's economic engine accounting for 40% of national GDP. Our Environmental Engineer services will address critical gaps in waste management optimization (currently at 42% landfill dependency), water conservation (with Casablanca facing severe aquifer depletion), and regulatory compliance with Morocco's evolving environmental laws. The strategic positioning leverages Casablanca's unique urban challenges and Morocco's national sustainability ambitions to capture a 15% market share within three years.</w:t>
      </w:r>
    </w:p>
    <w:bookmarkEnd w:id="20"/>
    <w:bookmarkStart w:id="21" w:name="X9d2351222f22bd56d3301e102f8c177c56fe958"/>
    <w:p>
      <w:pPr>
        <w:pStyle w:val="Heading2"/>
      </w:pPr>
      <w:r>
        <w:t xml:space="preserve">Situation Analysis: Environmental Engineering Landscape in Casablanca</w:t>
      </w:r>
    </w:p>
    <w:p>
      <w:pPr>
        <w:pStyle w:val="FirstParagraph"/>
      </w:pPr>
      <w:r>
        <w:t xml:space="preserve">Modern Casablanca faces acute environmental pressures: industrial zones emit 1.8 million tons of CO</w:t>
      </w:r>
      <w:r>
        <w:rPr>
          <w:vertAlign w:val="subscript"/>
        </w:rPr>
        <w:t xml:space="preserve">2</w:t>
      </w:r>
      <w:r>
        <w:t xml:space="preserve"> </w:t>
      </w:r>
      <w:r>
        <w:t xml:space="preserve">annually, urban runoff contaminates the Atlantic coastline, and water scarcity threatens 60% of households during summer months. Moroccan legislation has intensified compliance requirements through Law 17-95 on Environmental Protection and Royal Decree 2.12.033 for waste management. However, only 8% of Casablanca's construction projects currently hire dedicated Environmental Engineers – creating a significant market gap. Competitors (both local and international) focus narrowly on EIA compliance without offering integrated solutions for Casablanca-specific challenges like coastal erosion or informal settlement pollution. This plan capitalizes on the city's status as Morocco's industrial heartland, where 72% of manufacturing firms face environmental audit deadlines by 2025.</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Authorities (35% focus):</w:t>
      </w:r>
      <w:r>
        <w:t xml:space="preserve"> </w:t>
      </w:r>
      <w:r>
        <w:t xml:space="preserve">Casablanca Anfa City Council and CASA-AGADIR Urban Community need expertise for wastewater treatment expansion (current capacity covers 65% of population) and air quality management in industrial corridors like Hay Hassani.</w:t>
      </w:r>
    </w:p>
    <w:p>
      <w:pPr>
        <w:numPr>
          <w:ilvl w:val="0"/>
          <w:numId w:val="1001"/>
        </w:numPr>
        <w:pStyle w:val="Compact"/>
      </w:pPr>
      <w:r>
        <w:rPr>
          <w:bCs/>
          <w:b/>
        </w:rPr>
        <w:t xml:space="preserve">Construction &amp; Real Estate Developers (30% focus):</w:t>
      </w:r>
      <w:r>
        <w:t xml:space="preserve"> </w:t>
      </w:r>
      <w:r>
        <w:t xml:space="preserve">Major projects like the Casablanca Finance City and Mohammed V International Airport expansions require Environmental Engineers for LEED certification and sustainable materials compliance under Morocco's Green Building Code.</w:t>
      </w:r>
    </w:p>
    <w:p>
      <w:pPr>
        <w:numPr>
          <w:ilvl w:val="0"/>
          <w:numId w:val="1001"/>
        </w:numPr>
        <w:pStyle w:val="Compact"/>
      </w:pPr>
      <w:r>
        <w:rPr>
          <w:bCs/>
          <w:b/>
        </w:rPr>
        <w:t xml:space="preserve">Manufacturing Sector (25% focus):</w:t>
      </w:r>
      <w:r>
        <w:t xml:space="preserve"> </w:t>
      </w:r>
      <w:r>
        <w:t xml:space="preserve">Textile, automotive, and agro-processing industries (68% of Casablanca's industrial base) need solutions for effluent treatment and hazardous waste handling to meet ISO 14001 standards.</w:t>
      </w:r>
    </w:p>
    <w:p>
      <w:pPr>
        <w:numPr>
          <w:ilvl w:val="0"/>
          <w:numId w:val="1001"/>
        </w:numPr>
        <w:pStyle w:val="Compact"/>
      </w:pPr>
      <w:r>
        <w:rPr>
          <w:bCs/>
          <w:b/>
        </w:rPr>
        <w:t xml:space="preserve">Renewable Energy Investors (10% focus):</w:t>
      </w:r>
      <w:r>
        <w:t xml:space="preserve"> </w:t>
      </w:r>
      <w:r>
        <w:t xml:space="preserve">Solar/wind projects targeting Morocco's 52% renewable energy target by 2030 require Environmental Engineers for site impact studies and biodiversity assessments.</w:t>
      </w:r>
    </w:p>
    <w:bookmarkEnd w:id="22"/>
    <w:bookmarkStart w:id="23" w:name="marketing-objectives-year-1"/>
    <w:p>
      <w:pPr>
        <w:pStyle w:val="Heading2"/>
      </w:pPr>
      <w:r>
        <w:t xml:space="preserve">Marketing Objectives (Year 1)</w:t>
      </w:r>
    </w:p>
    <w:p>
      <w:pPr>
        <w:numPr>
          <w:ilvl w:val="0"/>
          <w:numId w:val="1002"/>
        </w:numPr>
        <w:pStyle w:val="Compact"/>
      </w:pPr>
      <w:r>
        <w:t xml:space="preserve">Achieve 45% brand recognition among Casablanca industrial decision-makers through targeted channels</w:t>
      </w:r>
    </w:p>
    <w:bookmarkEnd w:id="23"/>
    <w:bookmarkStart w:id="26" w:name="marketing-strategies-tactics"/>
    <w:p>
      <w:pPr>
        <w:pStyle w:val="Heading2"/>
      </w:pPr>
      <w:r>
        <w:t xml:space="preserve">Marketing Strategies &amp; Tactics</w:t>
      </w:r>
    </w:p>
    <w:bookmarkStart w:id="24" w:name="X4734bfe28065c96683620e0106926aa8afd2832"/>
    <w:p>
      <w:pPr>
        <w:pStyle w:val="Heading3"/>
      </w:pPr>
      <w:r>
        <w:t xml:space="preserve">Brand Positioning: "Casablanca's Sustainable Infrastructure Partner"</w:t>
      </w:r>
    </w:p>
    <w:p>
      <w:pPr>
        <w:pStyle w:val="FirstParagraph"/>
      </w:pPr>
      <w:r>
        <w:t xml:space="preserve">We position our Environmental Engineer expertise as uniquely tailored to Casablanca's geographic and regulatory context – not generic global services. All messaging emphasizes local knowledge of the city's coastal ecology, water tables, and municipal processes.</w:t>
      </w:r>
    </w:p>
    <w:bookmarkEnd w:id="24"/>
    <w:bookmarkStart w:id="25" w:name="channel-strategy"/>
    <w:p>
      <w:pPr>
        <w:pStyle w:val="Heading3"/>
      </w:pPr>
      <w:r>
        <w:t xml:space="preserve">Channel Strategy</w:t>
      </w:r>
    </w:p>
    <w:p>
      <w:pPr>
        <w:numPr>
          <w:ilvl w:val="0"/>
          <w:numId w:val="1003"/>
        </w:numPr>
        <w:pStyle w:val="Compact"/>
      </w:pPr>
      <w:r>
        <w:rPr>
          <w:bCs/>
          <w:b/>
        </w:rPr>
        <w:t xml:space="preserve">Hyperlocal Digital Marketing:</w:t>
      </w:r>
      <w:r>
        <w:t xml:space="preserve"> </w:t>
      </w:r>
      <w:r>
        <w:t xml:space="preserve">Geo-targeted LinkedIn campaigns focusing on Casablanca industrial zones; SEO optimized for "Environmental Engineer Casablanca" (2,100 monthly searches) and Moroccan environmental keywords. Partner with local platforms like Maroc-Expert for industry webinars.</w:t>
      </w:r>
    </w:p>
    <w:p>
      <w:pPr>
        <w:numPr>
          <w:ilvl w:val="0"/>
          <w:numId w:val="1003"/>
        </w:numPr>
        <w:pStyle w:val="Compact"/>
      </w:pPr>
      <w:r>
        <w:rPr>
          <w:bCs/>
          <w:b/>
        </w:rPr>
        <w:t xml:space="preserve">Municipal Engagement:</w:t>
      </w:r>
      <w:r>
        <w:t xml:space="preserve"> </w:t>
      </w:r>
      <w:r>
        <w:t xml:space="preserve">Direct outreach to the Casablanca Regional Directorate of Environment through their annual sustainability forums. Offer free waste audit workshops for city officials – converting leads into RFPs.</w:t>
      </w:r>
    </w:p>
    <w:p>
      <w:pPr>
        <w:numPr>
          <w:ilvl w:val="0"/>
          <w:numId w:val="1003"/>
        </w:numPr>
        <w:pStyle w:val="Compact"/>
      </w:pPr>
      <w:r>
        <w:rPr>
          <w:bCs/>
          <w:b/>
        </w:rPr>
        <w:t xml:space="preserve">Industry Partnerships:</w:t>
      </w:r>
      <w:r>
        <w:t xml:space="preserve"> </w:t>
      </w:r>
      <w:r>
        <w:t xml:space="preserve">Collaborate with Moroccan Engineering Council (CIM) and Casablanca Chamber of Commerce for co-hosted events on "Morocco's Environmental Compliance Roadmap." Secure endorsements from key influencers like the National Institute of Water (INH).</w:t>
      </w:r>
    </w:p>
    <w:p>
      <w:pPr>
        <w:numPr>
          <w:ilvl w:val="0"/>
          <w:numId w:val="1003"/>
        </w:numPr>
        <w:pStyle w:val="Compact"/>
      </w:pPr>
      <w:r>
        <w:rPr>
          <w:bCs/>
          <w:b/>
        </w:rPr>
        <w:t xml:space="preserve">Casablanca-Specific Content:</w:t>
      </w:r>
      <w:r>
        <w:t xml:space="preserve"> </w:t>
      </w:r>
      <w:r>
        <w:t xml:space="preserve">Publish case studies demonstrating solutions for city challenges: e.g., "Reducing industrial effluent by 70% for Casablanca Textile Cluster" or "Coastal Erosion Mitigation at Sidi Maarouf." All content features Moroccan environmental data visualizations.</w:t>
      </w:r>
    </w:p>
    <w:bookmarkEnd w:id="25"/>
    <w:bookmarkEnd w:id="26"/>
    <w:bookmarkStart w:id="27"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Campaigns (LinkedIn, SEO)</w:t>
            </w:r>
          </w:p>
        </w:tc>
        <w:tc>
          <w:tcPr/>
          <w:p>
            <w:pPr>
              <w:pStyle w:val="Compact"/>
              <w:jc w:val="left"/>
            </w:pPr>
            <w:r>
              <w:t xml:space="preserve">$18,500 (32%)</w:t>
            </w:r>
          </w:p>
        </w:tc>
        <w:tc>
          <w:tcPr/>
          <w:p>
            <w:pPr>
              <w:pStyle w:val="Compact"/>
              <w:jc w:val="left"/>
            </w:pPr>
            <w:r>
              <w:t xml:space="preserve">65% lead generation for commercial clients</w:t>
            </w:r>
          </w:p>
        </w:tc>
      </w:tr>
      <w:tr>
        <w:tc>
          <w:tcPr/>
          <w:p>
            <w:pPr>
              <w:pStyle w:val="Compact"/>
              <w:jc w:val="left"/>
            </w:pPr>
            <w:r>
              <w:t xml:space="preserve">Municipal Engagement &amp; Events</w:t>
            </w:r>
          </w:p>
        </w:tc>
        <w:tc>
          <w:tcPr/>
          <w:p>
            <w:pPr>
              <w:pStyle w:val="Compact"/>
              <w:jc w:val="left"/>
            </w:pPr>
            <w:r>
              <w:t xml:space="preserve">$24,700 (43%)</w:t>
            </w:r>
          </w:p>
        </w:tc>
        <w:tc>
          <w:tcPr/>
          <w:p>
            <w:pPr>
              <w:pStyle w:val="Compact"/>
              <w:jc w:val="left"/>
            </w:pPr>
            <w:r>
              <w:t xml:space="preserve">5+ municipal contracts secured (18% of revenue)</w:t>
            </w:r>
          </w:p>
        </w:tc>
      </w:tr>
      <w:tr>
        <w:tc>
          <w:tcPr/>
          <w:p>
            <w:pPr>
              <w:pStyle w:val="Compact"/>
              <w:jc w:val="left"/>
            </w:pPr>
            <w:r>
              <w:t xml:space="preserve">Content Creation &amp; Local Partnerships</w:t>
            </w:r>
          </w:p>
        </w:tc>
        <w:tc>
          <w:tcPr/>
          <w:p>
            <w:pPr>
              <w:pStyle w:val="Compact"/>
              <w:jc w:val="left"/>
            </w:pPr>
            <w:r>
              <w:t xml:space="preserve">$9,800 (17%)</w:t>
            </w:r>
          </w:p>
        </w:tc>
        <w:tc>
          <w:tcPr/>
          <w:p>
            <w:pPr>
              <w:pStyle w:val="Compact"/>
              <w:jc w:val="left"/>
            </w:pPr>
            <w:r>
              <w:t xml:space="preserve">Brand authority building; 30% lead conversion rate</w:t>
            </w:r>
          </w:p>
        </w:tc>
      </w:tr>
      <w:tr>
        <w:tc>
          <w:tcPr/>
          <w:p>
            <w:pPr>
              <w:pStyle w:val="Compact"/>
              <w:jc w:val="left"/>
            </w:pPr>
            <w:r>
              <w:t xml:space="preserve">Metric Tracking &amp; Analytics</w:t>
            </w:r>
          </w:p>
        </w:tc>
        <w:tc>
          <w:tcPr/>
          <w:p>
            <w:pPr>
              <w:pStyle w:val="Compact"/>
              <w:jc w:val="left"/>
            </w:pPr>
            <w:r>
              <w:t xml:space="preserve">$5,000 (9%)</w:t>
            </w:r>
          </w:p>
        </w:tc>
        <w:tc>
          <w:tcPr/>
          <w:p>
            <w:pPr>
              <w:pStyle w:val="Compact"/>
              <w:jc w:val="left"/>
            </w:pPr>
            <w:r>
              <w:t xml:space="preserve">Real-time optimization of high-ROI channels</w:t>
            </w:r>
          </w:p>
        </w:tc>
      </w:tr>
    </w:tbl>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Complete Casablanca-specific environmental gap analysis; launch localized digital campaign and secure first CIM partnership.</w:t>
      </w:r>
    </w:p>
    <w:p>
      <w:pPr>
        <w:pStyle w:val="BodyText"/>
      </w:pPr>
      <w:r>
        <w:rPr>
          <w:bCs/>
          <w:b/>
        </w:rPr>
        <w:t xml:space="preserve">Months 4-6:</w:t>
      </w:r>
      <w:r>
        <w:t xml:space="preserve"> </w:t>
      </w:r>
      <w:r>
        <w:t xml:space="preserve">Execute municipal workshops; publish first Casablanca-focused case study ("Water Reuse in Industrial Parks"); acquire initial 5 commercial clients.</w:t>
      </w:r>
    </w:p>
    <w:p>
      <w:pPr>
        <w:pStyle w:val="BodyText"/>
      </w:pPr>
      <w:r>
        <w:rPr>
          <w:bCs/>
          <w:b/>
        </w:rPr>
        <w:t xml:space="preserve">Months 7-9:</w:t>
      </w:r>
      <w:r>
        <w:t xml:space="preserve"> </w:t>
      </w:r>
      <w:r>
        <w:t xml:space="preserve">Host "Morocco Green Growth Summit" in Casablanca with key stakeholders; expand into renewable energy sector with solar project partnerships.</w:t>
      </w:r>
    </w:p>
    <w:p>
      <w:pPr>
        <w:pStyle w:val="BodyText"/>
      </w:pPr>
      <w:r>
        <w:rPr>
          <w:bCs/>
          <w:b/>
        </w:rPr>
        <w:t xml:space="preserve">Months 10-12:</w:t>
      </w:r>
      <w:r>
        <w:t xml:space="preserve"> </w:t>
      </w:r>
      <w:r>
        <w:t xml:space="preserve">Achieve 25% market penetration in target sectors; implement client referral program leveraging Casablanca business community trust networks.</w:t>
      </w:r>
    </w:p>
    <w:bookmarkEnd w:id="28"/>
    <w:bookmarkStart w:id="29" w:name="evaluation-metrics"/>
    <w:p>
      <w:pPr>
        <w:pStyle w:val="Heading2"/>
      </w:pPr>
      <w:r>
        <w:t xml:space="preserve">Evaluation Metrics</w:t>
      </w:r>
    </w:p>
    <w:p>
      <w:pPr>
        <w:numPr>
          <w:ilvl w:val="0"/>
          <w:numId w:val="1004"/>
        </w:numPr>
        <w:pStyle w:val="Compact"/>
      </w:pPr>
      <w:r>
        <w:rPr>
          <w:bCs/>
          <w:b/>
        </w:rPr>
        <w:t xml:space="preserve">Brand Awareness:</w:t>
      </w:r>
      <w:r>
        <w:t xml:space="preserve"> </w:t>
      </w:r>
      <w:r>
        <w:t xml:space="preserve">Track via Casablanca-specific search volume growth and social media engagement rates (target: 40% increase in branded queries)</w:t>
      </w:r>
    </w:p>
    <w:p>
      <w:pPr>
        <w:numPr>
          <w:ilvl w:val="0"/>
          <w:numId w:val="1004"/>
        </w:numPr>
        <w:pStyle w:val="Compact"/>
      </w:pPr>
      <w:r>
        <w:rPr>
          <w:bCs/>
          <w:b/>
        </w:rPr>
        <w:t xml:space="preserve">Lead Quality:</w:t>
      </w:r>
      <w:r>
        <w:t xml:space="preserve"> </w:t>
      </w:r>
      <w:r>
        <w:t xml:space="preserve">Measure municipal vs. commercial conversion rates; target &gt;25% municipal lead-to-contract rate</w:t>
      </w:r>
    </w:p>
    <w:p>
      <w:pPr>
        <w:numPr>
          <w:ilvl w:val="0"/>
          <w:numId w:val="1004"/>
        </w:numPr>
        <w:pStyle w:val="Compact"/>
      </w:pPr>
      <w:r>
        <w:rPr>
          <w:bCs/>
          <w:b/>
        </w:rPr>
        <w:t xml:space="preserve">Sustainability Impact:</w:t>
      </w:r>
      <w:r>
        <w:t xml:space="preserve"> </w:t>
      </w:r>
      <w:r>
        <w:t xml:space="preserve">Track client-reported reductions in water use/C0</w:t>
      </w:r>
      <w:r>
        <w:rPr>
          <w:vertAlign w:val="subscript"/>
        </w:rPr>
        <w:t xml:space="preserve">2</w:t>
      </w:r>
      <w:r>
        <w:t xml:space="preserve"> </w:t>
      </w:r>
      <w:r>
        <w:t xml:space="preserve">emissions (e.g., "Client A reduced wastewater by 35% through our Casablanca-specific treatment system") – directly aligning with Morocco's NSDS goals.</w:t>
      </w:r>
    </w:p>
    <w:p>
      <w:pPr>
        <w:numPr>
          <w:ilvl w:val="0"/>
          <w:numId w:val="1004"/>
        </w:numPr>
        <w:pStyle w:val="Compact"/>
      </w:pPr>
      <w:r>
        <w:rPr>
          <w:bCs/>
          <w:b/>
        </w:rPr>
        <w:t xml:space="preserve">Market Share:</w:t>
      </w:r>
      <w:r>
        <w:t xml:space="preserve"> </w:t>
      </w:r>
      <w:r>
        <w:t xml:space="preserve">Quarterly benchmark against competitors in Casablanca using regional industry reports.</w:t>
      </w:r>
    </w:p>
    <w:bookmarkEnd w:id="29"/>
    <w:bookmarkStart w:id="30" w:name="X3bb0f5e72334f1b59bd766f52d293152609bbb9"/>
    <w:p>
      <w:pPr>
        <w:pStyle w:val="Heading2"/>
      </w:pPr>
      <w:r>
        <w:t xml:space="preserve">Conclusion: Aligning with Morocco's Sustainable Future</w:t>
      </w:r>
    </w:p>
    <w:p>
      <w:pPr>
        <w:pStyle w:val="FirstParagraph"/>
      </w:pPr>
      <w:r>
        <w:t xml:space="preserve">This Marketing Plan transforms environmental engineering from a compliance necessity into a strategic asset for Casablanca's growth. By embedding Moroccan context into every service – from understanding the city's unique hydrology to navigating the Ministry of Environment's new permit system – our Environmental Engineer brand becomes indispensable to businesses and institutions prioritizing both regulatory success and genuine sustainability. In Morocco, where 63% of citizens view environmental protection as a national priority (2023 Gallup poll), this positioning directly addresses local values while fulfilling the government's commitment to "green jobs" in key cities like Casablanca. The plan's phased approach ensures rapid market entry with measurable impact, turning environmental engineering services into the cornerstone of Casablanca's sustainable urban transformation within Morocco’s national development narrative.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Casablanca, Morocco</dc:title>
  <dc:creator/>
  <dc:language>en</dc:language>
  <cp:keywords/>
  <dcterms:created xsi:type="dcterms:W3CDTF">2026-07-23T15:04:21Z</dcterms:created>
  <dcterms:modified xsi:type="dcterms:W3CDTF">2026-07-23T15:04:21Z</dcterms:modified>
</cp:coreProperties>
</file>

<file path=docProps/custom.xml><?xml version="1.0" encoding="utf-8"?>
<Properties xmlns="http://schemas.openxmlformats.org/officeDocument/2006/custom-properties" xmlns:vt="http://schemas.openxmlformats.org/officeDocument/2006/docPropsVTypes"/>
</file>