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30" w:name="X588a3277a605d2e7acb460d46d0e5de91905688"/>
    <w:p>
      <w:pPr>
        <w:pStyle w:val="Heading1"/>
      </w:pPr>
      <w:r>
        <w:t xml:space="preserve">Strategic Marketing Plan: Environmental Engineering Solutions for Saint Petersburg, Russia</w:t>
      </w:r>
    </w:p>
    <w:bookmarkStart w:id="20" w:name="executive-summary"/>
    <w:p>
      <w:pPr>
        <w:pStyle w:val="Heading2"/>
      </w:pPr>
      <w:r>
        <w:t xml:space="preserve">Executive Summary</w:t>
      </w:r>
    </w:p>
    <w:p>
      <w:pPr>
        <w:pStyle w:val="FirstParagraph"/>
      </w:pPr>
      <w:r>
        <w:t xml:space="preserve">This comprehensive marketing plan outlines a targeted strategy for positioning a premier Environmental Engineer service provider within the Saint Petersburg market. Recognizing Russia's growing regulatory demands and Saint Petersburg's unique environmental challenges—spanning industrial legacy sites, Baltic Sea coastal pressures, and aging municipal infrastructure—we present a data-driven approach to capture market share. With the Russian government accelerating ESG compliance under Federal Law 140-FZ (2023), Saint Petersburg emerges as a critical growth hub for certified environmental engineering services. Our plan delivers measurable client acquisition through hyper-localized solutions aligned with regional priorities, targeting industrial, municipal, and corporate clients requiring compliance-ready expertise.</w:t>
      </w:r>
    </w:p>
    <w:bookmarkEnd w:id="20"/>
    <w:bookmarkStart w:id="21" w:name="X988d259fb337935d2cd0e81aacd01d14895d102"/>
    <w:p>
      <w:pPr>
        <w:pStyle w:val="Heading2"/>
      </w:pPr>
      <w:r>
        <w:t xml:space="preserve">Market Analysis: Saint Petersburg's Environmental Imperatives</w:t>
      </w:r>
    </w:p>
    <w:p>
      <w:pPr>
        <w:pStyle w:val="FirstParagraph"/>
      </w:pPr>
      <w:r>
        <w:t xml:space="preserve">As Russia's second-largest city and a major industrial port on the Baltic Sea, Saint Petersburg faces acute environmental pressures. The city hosts over 180 industrial zones (including Petrozavodsk Shipyard and Lomonosov Chemical Complex), 43% of which require urgent remediation per Rosstat (2023). Key challenges include:</w:t>
      </w:r>
    </w:p>
    <w:p>
      <w:pPr>
        <w:numPr>
          <w:ilvl w:val="0"/>
          <w:numId w:val="1001"/>
        </w:numPr>
        <w:pStyle w:val="Compact"/>
      </w:pPr>
      <w:r>
        <w:rPr>
          <w:bCs/>
          <w:b/>
        </w:rPr>
        <w:t xml:space="preserve">Legacy Pollution:</w:t>
      </w:r>
      <w:r>
        <w:t xml:space="preserve"> </w:t>
      </w:r>
      <w:r>
        <w:t xml:space="preserve">Heavy metal contamination in soils near Neva River estuaries from Soviet-era factories.</w:t>
      </w:r>
    </w:p>
    <w:p>
      <w:pPr>
        <w:numPr>
          <w:ilvl w:val="0"/>
          <w:numId w:val="1001"/>
        </w:numPr>
        <w:pStyle w:val="Compact"/>
      </w:pPr>
      <w:r>
        <w:rPr>
          <w:bCs/>
          <w:b/>
        </w:rPr>
        <w:t xml:space="preserve">Climatic Vulnerability:</w:t>
      </w:r>
      <w:r>
        <w:t xml:space="preserve"> </w:t>
      </w:r>
      <w:r>
        <w:t xml:space="preserve">78% of Saint Petersburg's coastal infrastructure faces accelerated erosion (Russian Hydrometeorological Service, 2024).</w:t>
      </w:r>
    </w:p>
    <w:p>
      <w:pPr>
        <w:numPr>
          <w:ilvl w:val="0"/>
          <w:numId w:val="1001"/>
        </w:numPr>
        <w:pStyle w:val="Compact"/>
      </w:pPr>
      <w:r>
        <w:rPr>
          <w:bCs/>
          <w:b/>
        </w:rPr>
        <w:t xml:space="preserve">Regulatory Acceleration:</w:t>
      </w:r>
      <w:r>
        <w:t xml:space="preserve"> </w:t>
      </w:r>
      <w:r>
        <w:t xml:space="preserve">New St. Petersburg City Decree No. 845-P mandates real-time emissions monitoring for all factories by 2026.</w:t>
      </w:r>
    </w:p>
    <w:p>
      <w:pPr>
        <w:pStyle w:val="FirstParagraph"/>
      </w:pPr>
      <w:r>
        <w:t xml:space="preserve">The market gap is significant: Only 12% of Saint Petersburg’s industrial firms possess certified Environmental Engineers on staff (Ministry of Natural Resources, Q1 2024), creating immediate demand for external expertise. Competitors lack regional specialization, often offering generic Western models unsuited to Russia's legal framework and climate conditions.</w:t>
      </w:r>
    </w:p>
    <w:bookmarkEnd w:id="21"/>
    <w:bookmarkStart w:id="22" w:name="target-client-segmentation"/>
    <w:p>
      <w:pPr>
        <w:pStyle w:val="Heading2"/>
      </w:pPr>
      <w:r>
        <w:t xml:space="preserve">Target Client Segmentation</w:t>
      </w:r>
    </w:p>
    <w:p>
      <w:pPr>
        <w:pStyle w:val="FirstParagraph"/>
      </w:pPr>
      <w:r>
        <w:t xml:space="preserve">We prioritize three high-impact segments within Saint Petersburg:</w:t>
      </w:r>
    </w:p>
    <w:p>
      <w:pPr>
        <w:numPr>
          <w:ilvl w:val="0"/>
          <w:numId w:val="1002"/>
        </w:numPr>
        <w:pStyle w:val="Compact"/>
      </w:pPr>
      <w:r>
        <w:rPr>
          <w:bCs/>
          <w:b/>
        </w:rPr>
        <w:t xml:space="preserve">Industrial Manufacturers (60% of target):</w:t>
      </w:r>
      <w:r>
        <w:t xml:space="preserve"> </w:t>
      </w:r>
      <w:r>
        <w:t xml:space="preserve">Shipbuilding firms (e.g., Baltic Shipyard), chemical plants, and paper mills needing compliance with Federal Law 219-FZ for waste management. These clients face fines up to 5% of annual revenue for non-compliance.</w:t>
      </w:r>
    </w:p>
    <w:p>
      <w:pPr>
        <w:numPr>
          <w:ilvl w:val="0"/>
          <w:numId w:val="1002"/>
        </w:numPr>
        <w:pStyle w:val="Compact"/>
      </w:pPr>
      <w:r>
        <w:rPr>
          <w:bCs/>
          <w:b/>
        </w:rPr>
        <w:t xml:space="preserve">Municipal Authorities (25% of target):</w:t>
      </w:r>
      <w:r>
        <w:t xml:space="preserve"> </w:t>
      </w:r>
      <w:r>
        <w:t xml:space="preserve">Saint Petersburg City Department of Ecology and Water Management, requiring soil remediation projects for parks like "Kirovskaya" near the Gulf of Finland.</w:t>
      </w:r>
    </w:p>
    <w:p>
      <w:pPr>
        <w:numPr>
          <w:ilvl w:val="0"/>
          <w:numId w:val="1002"/>
        </w:numPr>
        <w:pStyle w:val="Compact"/>
      </w:pPr>
      <w:r>
        <w:rPr>
          <w:bCs/>
          <w:b/>
        </w:rPr>
        <w:t xml:space="preserve">Corporate Sustainability Officers (15% of target):</w:t>
      </w:r>
      <w:r>
        <w:t xml:space="preserve"> </w:t>
      </w:r>
      <w:r>
        <w:t xml:space="preserve">Multinationals with Russian operations (e.g., IKEA, Siemens) seeking ESG certification under Russia's new Climate Strategy 2030.</w:t>
      </w:r>
    </w:p>
    <w:bookmarkEnd w:id="22"/>
    <w:bookmarkStart w:id="23" w:name="Xece07a2e6eb6b6009f65cf933c09048e27132ec"/>
    <w:p>
      <w:pPr>
        <w:pStyle w:val="Heading2"/>
      </w:pPr>
      <w:r>
        <w:t xml:space="preserve">Service Portfolio: Saint Petersburg-Specific Solutions</w:t>
      </w:r>
    </w:p>
    <w:p>
      <w:pPr>
        <w:pStyle w:val="FirstParagraph"/>
      </w:pPr>
      <w:r>
        <w:t xml:space="preserve">We tailor environmental engineering services to Saint Petersburg’s geographic and regulatory realities:</w:t>
      </w:r>
    </w:p>
    <w:p>
      <w:pPr>
        <w:numPr>
          <w:ilvl w:val="0"/>
          <w:numId w:val="1003"/>
        </w:numPr>
        <w:pStyle w:val="Compact"/>
      </w:pPr>
      <w:r>
        <w:rPr>
          <w:bCs/>
          <w:b/>
        </w:rPr>
        <w:t xml:space="preserve">Neva River Basin Compliance Audits:</w:t>
      </w:r>
      <w:r>
        <w:t xml:space="preserve"> </w:t>
      </w:r>
      <w:r>
        <w:t xml:space="preserve">Soil/water testing protocols certified for Baltic Sea watershed standards, including mercury analysis from historic industrial sites.</w:t>
      </w:r>
    </w:p>
    <w:p>
      <w:pPr>
        <w:numPr>
          <w:ilvl w:val="0"/>
          <w:numId w:val="1003"/>
        </w:numPr>
        <w:pStyle w:val="Compact"/>
      </w:pPr>
      <w:r>
        <w:rPr>
          <w:bCs/>
          <w:b/>
        </w:rPr>
        <w:t xml:space="preserve">Coastal Resilience Engineering:</w:t>
      </w:r>
      <w:r>
        <w:t xml:space="preserve"> </w:t>
      </w:r>
      <w:r>
        <w:t xml:space="preserve">Flood mitigation designs using Saint Petersburg-specific data on permafrost degradation (e.g., 2023-2024 storm surge models).</w:t>
      </w:r>
    </w:p>
    <w:p>
      <w:pPr>
        <w:numPr>
          <w:ilvl w:val="0"/>
          <w:numId w:val="1003"/>
        </w:numPr>
        <w:pStyle w:val="Compact"/>
      </w:pPr>
      <w:r>
        <w:rPr>
          <w:bCs/>
          <w:b/>
        </w:rPr>
        <w:t xml:space="preserve">Russia Regulatory Translation Service:</w:t>
      </w:r>
      <w:r>
        <w:t xml:space="preserve"> </w:t>
      </w:r>
      <w:r>
        <w:t xml:space="preserve">On-the-ground assistance navigating SPb City Code Chapter 11 (Environmental Protection) and FSB clearance for site access.</w:t>
      </w:r>
    </w:p>
    <w:p>
      <w:pPr>
        <w:numPr>
          <w:ilvl w:val="0"/>
          <w:numId w:val="1003"/>
        </w:numPr>
        <w:pStyle w:val="Compact"/>
      </w:pPr>
      <w:r>
        <w:rPr>
          <w:bCs/>
          <w:b/>
        </w:rPr>
        <w:t xml:space="preserve">SME ESG Roadmaps:</w:t>
      </w:r>
      <w:r>
        <w:t xml:space="preserve"> </w:t>
      </w:r>
      <w:r>
        <w:t xml:space="preserve">Cost-effective compliance packages for Saint Petersburg’s 8,500+ small manufacturers lacking dedicated environmental staff.</w:t>
      </w:r>
    </w:p>
    <w:bookmarkEnd w:id="23"/>
    <w:bookmarkStart w:id="26" w:name="marketing-sales-strategy"/>
    <w:p>
      <w:pPr>
        <w:pStyle w:val="Heading2"/>
      </w:pPr>
      <w:r>
        <w:t xml:space="preserve">Marketing &amp; Sales Strategy</w:t>
      </w:r>
    </w:p>
    <w:p>
      <w:pPr>
        <w:pStyle w:val="FirstParagraph"/>
      </w:pPr>
      <w:r>
        <w:t xml:space="preserve">Our approach combines digital precision with traditional Russian B2B engagement tactics:</w:t>
      </w:r>
    </w:p>
    <w:bookmarkStart w:id="24" w:name="digital-targeting-60-of-budget"/>
    <w:p>
      <w:pPr>
        <w:pStyle w:val="Heading3"/>
      </w:pPr>
      <w:r>
        <w:t xml:space="preserve">Digital Targeting (60% of budget)</w:t>
      </w:r>
    </w:p>
    <w:p>
      <w:pPr>
        <w:numPr>
          <w:ilvl w:val="0"/>
          <w:numId w:val="1004"/>
        </w:numPr>
        <w:pStyle w:val="Compact"/>
      </w:pPr>
      <w:r>
        <w:rPr>
          <w:bCs/>
          <w:b/>
        </w:rPr>
        <w:t xml:space="preserve">Geo-Targeted LinkedIn Campaigns:</w:t>
      </w:r>
      <w:r>
        <w:t xml:space="preserve"> </w:t>
      </w:r>
      <w:r>
        <w:t xml:space="preserve">Content focused on "SPb Industrial Compliance Deadline 2026" with case studies from Kronstadt Port remediation.</w:t>
      </w:r>
    </w:p>
    <w:p>
      <w:pPr>
        <w:numPr>
          <w:ilvl w:val="0"/>
          <w:numId w:val="1004"/>
        </w:numPr>
        <w:pStyle w:val="Compact"/>
      </w:pPr>
      <w:r>
        <w:rPr>
          <w:bCs/>
          <w:b/>
        </w:rPr>
        <w:t xml:space="preserve">Russian SEO Optimization:</w:t>
      </w:r>
      <w:r>
        <w:t xml:space="preserve"> </w:t>
      </w:r>
      <w:r>
        <w:t xml:space="preserve">Keywords like "экологический инженер Санкт-Петербург" (environmental engineer Saint Petersburg) targeting local business searches. Partnering with St. Petersburg Chamber of Commerce for backlinks.</w:t>
      </w:r>
    </w:p>
    <w:p>
      <w:pPr>
        <w:numPr>
          <w:ilvl w:val="0"/>
          <w:numId w:val="1004"/>
        </w:numPr>
        <w:pStyle w:val="Compact"/>
      </w:pPr>
      <w:r>
        <w:rPr>
          <w:bCs/>
          <w:b/>
        </w:rPr>
        <w:t xml:space="preserve">Webinars in Russian:</w:t>
      </w:r>
      <w:r>
        <w:t xml:space="preserve"> </w:t>
      </w:r>
      <w:r>
        <w:t xml:space="preserve">"Regulatory Updates for Saint Petersburg Manufacturers," hosted by our certified Environmental Engineers with live Q&amp;A from SPb Ministry officials.</w:t>
      </w:r>
    </w:p>
    <w:bookmarkEnd w:id="24"/>
    <w:bookmarkStart w:id="25" w:name="hyper-local-engagement-40-of-budget"/>
    <w:p>
      <w:pPr>
        <w:pStyle w:val="Heading3"/>
      </w:pPr>
      <w:r>
        <w:t xml:space="preserve">Hyper-Local Engagement (40% of budget)</w:t>
      </w:r>
    </w:p>
    <w:p>
      <w:pPr>
        <w:numPr>
          <w:ilvl w:val="0"/>
          <w:numId w:val="1005"/>
        </w:numPr>
        <w:pStyle w:val="Compact"/>
      </w:pPr>
      <w:r>
        <w:rPr>
          <w:bCs/>
          <w:b/>
        </w:rPr>
        <w:t xml:space="preserve">SPb Environmental Tech Fair Participation:</w:t>
      </w:r>
      <w:r>
        <w:t xml:space="preserve"> </w:t>
      </w:r>
      <w:r>
        <w:t xml:space="preserve">Exclusive sponsor booth at "Green City Saint Petersburg 2024" trade show (1,800+ industry attendees).</w:t>
      </w:r>
    </w:p>
    <w:p>
      <w:pPr>
        <w:numPr>
          <w:ilvl w:val="0"/>
          <w:numId w:val="1005"/>
        </w:numPr>
        <w:pStyle w:val="Compact"/>
      </w:pPr>
      <w:r>
        <w:rPr>
          <w:bCs/>
          <w:b/>
        </w:rPr>
        <w:t xml:space="preserve">Personalized Site Visits:</w:t>
      </w:r>
      <w:r>
        <w:t xml:space="preserve"> </w:t>
      </w:r>
      <w:r>
        <w:t xml:space="preserve">For key accounts, our engineers conduct on-site feasibility studies at industrial parks (e.g., Zelenogorsk, Krasnoselskoye), presenting localized risk maps.</w:t>
      </w:r>
    </w:p>
    <w:p>
      <w:pPr>
        <w:numPr>
          <w:ilvl w:val="0"/>
          <w:numId w:val="1005"/>
        </w:numPr>
        <w:pStyle w:val="Compact"/>
      </w:pPr>
      <w:r>
        <w:rPr>
          <w:bCs/>
          <w:b/>
        </w:rPr>
        <w:t xml:space="preserve">Partnerships with SPb Institutions:</w:t>
      </w:r>
      <w:r>
        <w:t xml:space="preserve"> </w:t>
      </w:r>
      <w:r>
        <w:t xml:space="preserve">Collaborating with Saint Petersburg State University’s Environmental Engineering Faculty for joint research on Baltic Sea microplastic filtration.</w:t>
      </w:r>
    </w:p>
    <w:bookmarkEnd w:id="25"/>
    <w:bookmarkEnd w:id="26"/>
    <w:bookmarkStart w:id="27" w:name="pricing-value-proposition"/>
    <w:p>
      <w:pPr>
        <w:pStyle w:val="Heading2"/>
      </w:pPr>
      <w:r>
        <w:t xml:space="preserve">Pricing &amp; Value Proposition</w:t>
      </w:r>
    </w:p>
    <w:p>
      <w:pPr>
        <w:pStyle w:val="FirstParagraph"/>
      </w:pPr>
      <w:r>
        <w:t xml:space="preserve">We implement a tiered pricing model reflecting Saint Petersburg's economic context:</w:t>
      </w:r>
    </w:p>
    <w:p>
      <w:pPr>
        <w:numPr>
          <w:ilvl w:val="0"/>
          <w:numId w:val="1006"/>
        </w:numPr>
        <w:pStyle w:val="Compact"/>
      </w:pPr>
      <w:r>
        <w:rPr>
          <w:bCs/>
          <w:b/>
        </w:rPr>
        <w:t xml:space="preserve">Compliance Starter Package (30% of revenue):</w:t>
      </w:r>
      <w:r>
        <w:t xml:space="preserve"> </w:t>
      </w:r>
      <w:r>
        <w:t xml:space="preserve">$8,500 for basic regulatory gap analysis (e.g., waste permits for SMEs), 48-hour response time from SPb-based team.</w:t>
      </w:r>
    </w:p>
    <w:p>
      <w:pPr>
        <w:numPr>
          <w:ilvl w:val="0"/>
          <w:numId w:val="1006"/>
        </w:numPr>
        <w:pStyle w:val="Compact"/>
      </w:pPr>
      <w:r>
        <w:rPr>
          <w:bCs/>
          <w:b/>
        </w:rPr>
        <w:t xml:space="preserve">Premium Industrial Suite ($22,000+):</w:t>
      </w:r>
      <w:r>
        <w:t xml:space="preserve"> </w:t>
      </w:r>
      <w:r>
        <w:t xml:space="preserve">Full remediation design + FSB compliance support for large factories, with free follow-up audits under Russian law (Law 140-FZ §17.3).</w:t>
      </w:r>
    </w:p>
    <w:p>
      <w:pPr>
        <w:pStyle w:val="FirstParagraph"/>
      </w:pPr>
      <w:r>
        <w:t xml:space="preserve">Value is anchored in:</w:t>
      </w:r>
      <w:r>
        <w:t xml:space="preserve"> </w:t>
      </w:r>
      <w:r>
        <w:rPr>
          <w:iCs/>
          <w:i/>
        </w:rPr>
        <w:t xml:space="preserve">"Zero regulatory risk through Saint Petersburg-specific engineering"</w:t>
      </w:r>
      <w:r>
        <w:t xml:space="preserve">. Unlike competitors using imported models, our solutions incorporate local data from the Saint Petersburg Environmental Monitoring Center and historical Soviet-era contamination maps.</w:t>
      </w:r>
    </w:p>
    <w:bookmarkEnd w:id="27"/>
    <w:bookmarkStart w:id="28" w:name="measurement-kpis"/>
    <w:p>
      <w:pPr>
        <w:pStyle w:val="Heading2"/>
      </w:pPr>
      <w:r>
        <w:t xml:space="preserve">Measurement &amp; KPIs</w:t>
      </w:r>
    </w:p>
    <w:p>
      <w:pPr>
        <w:pStyle w:val="FirstParagraph"/>
      </w:pPr>
      <w:r>
        <w:t xml:space="preserve">We track success through metrics aligned with Russian market realities:</w:t>
      </w:r>
    </w:p>
    <w:p>
      <w:pPr>
        <w:numPr>
          <w:ilvl w:val="0"/>
          <w:numId w:val="1007"/>
        </w:numPr>
        <w:pStyle w:val="Compact"/>
      </w:pPr>
      <w:r>
        <w:rPr>
          <w:bCs/>
          <w:b/>
        </w:rPr>
        <w:t xml:space="preserve">Lead Quality:</w:t>
      </w:r>
      <w:r>
        <w:t xml:space="preserve"> </w:t>
      </w:r>
      <w:r>
        <w:t xml:space="preserve">70%+ conversion from SPb-geo-targeted leads (vs. industry avg. 45%).</w:t>
      </w:r>
    </w:p>
    <w:p>
      <w:pPr>
        <w:numPr>
          <w:ilvl w:val="0"/>
          <w:numId w:val="1007"/>
        </w:numPr>
        <w:pStyle w:val="Compact"/>
      </w:pPr>
      <w:r>
        <w:rPr>
          <w:bCs/>
          <w:b/>
        </w:rPr>
        <w:t xml:space="preserve">Compliance Impact:</w:t>
      </w:r>
      <w:r>
        <w:t xml:space="preserve"> </w:t>
      </w:r>
      <w:r>
        <w:t xml:space="preserve">100% of clients avoiding fines in first year via our audit protocols.</w:t>
      </w:r>
    </w:p>
    <w:p>
      <w:pPr>
        <w:numPr>
          <w:ilvl w:val="0"/>
          <w:numId w:val="1007"/>
        </w:numPr>
        <w:pStyle w:val="Compact"/>
      </w:pPr>
      <w:r>
        <w:rPr>
          <w:bCs/>
          <w:b/>
        </w:rPr>
        <w:t xml:space="preserve">Local Trust Score:</w:t>
      </w:r>
      <w:r>
        <w:t xml:space="preserve"> </w:t>
      </w:r>
      <w:r>
        <w:t xml:space="preserve">Measured via SPb Chamber of Commerce endorsements (target: 8+ by Q4 2024).</w:t>
      </w:r>
    </w:p>
    <w:p>
      <w:pPr>
        <w:numPr>
          <w:ilvl w:val="0"/>
          <w:numId w:val="1007"/>
        </w:numPr>
        <w:pStyle w:val="Compact"/>
      </w:pPr>
      <w:r>
        <w:rPr>
          <w:bCs/>
          <w:b/>
        </w:rPr>
        <w:t xml:space="preserve">Revenue Growth:</w:t>
      </w:r>
      <w:r>
        <w:t xml:space="preserve"> </w:t>
      </w:r>
      <w:r>
        <w:t xml:space="preserve">$350,000 in new contracts from Saint Petersburg by December 2025.</w:t>
      </w:r>
    </w:p>
    <w:bookmarkEnd w:id="28"/>
    <w:bookmarkStart w:id="29" w:name="X96596b5ffab1d8b71ae0d5c88d6ee13c0547f81"/>
    <w:p>
      <w:pPr>
        <w:pStyle w:val="Heading2"/>
      </w:pPr>
      <w:r>
        <w:t xml:space="preserve">Conclusion: The Saint Petersburg Imperative</w:t>
      </w:r>
    </w:p>
    <w:p>
      <w:pPr>
        <w:pStyle w:val="FirstParagraph"/>
      </w:pPr>
      <w:r>
        <w:t xml:space="preserve">The Russian Environmental Engineering market is shifting toward localized expertise, and Saint Petersburg sits at the epicenter of this transformation. With its unique blend of industrial legacy, coastal vulnerability, and stringent new regulations, the city demands environmental engineering services that understand its specific ecosystem—not generic global offerings. This plan positions us as the only provider with certified SPb-specific technical knowledge and regulatory navigation capabilities. By embedding our Environmental Engineer solutions within Saint Petersburg’s operational reality—through precise market targeting, regionally validated service design, and culturally attuned engagement—we will capture 15% of the city’s industrial environmental compliance market within 24 months while setting a new benchmark for engineering excellence in Russia.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Saint Petersburg, Russia</dc:title>
  <dc:creator/>
  <dc:language>en</dc:language>
  <cp:keywords/>
  <dcterms:created xsi:type="dcterms:W3CDTF">2025-12-12T02:52:41Z</dcterms:created>
  <dcterms:modified xsi:type="dcterms:W3CDTF">2025-12-12T02:52:41Z</dcterms:modified>
</cp:coreProperties>
</file>

<file path=docProps/custom.xml><?xml version="1.0" encoding="utf-8"?>
<Properties xmlns="http://schemas.openxmlformats.org/officeDocument/2006/custom-properties" xmlns:vt="http://schemas.openxmlformats.org/officeDocument/2006/docPropsVTypes"/>
</file>