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Singapore</w:t>
      </w:r>
    </w:p>
    <w:bookmarkStart w:id="32" w:name="Xfaa9c9d360d6227274e16506e9f1c95981d6764"/>
    <w:p>
      <w:pPr>
        <w:pStyle w:val="Heading1"/>
      </w:pPr>
      <w:r>
        <w:t xml:space="preserve">Comprehensive Marketing Plan: Environmental Engineering Solutions for Sustainable Singapore Development</w:t>
      </w:r>
    </w:p>
    <w:bookmarkStart w:id="20" w:name="executive-summary"/>
    <w:p>
      <w:pPr>
        <w:pStyle w:val="Heading2"/>
      </w:pPr>
      <w:r>
        <w:t xml:space="preserve">Executive Summary</w:t>
      </w:r>
    </w:p>
    <w:p>
      <w:pPr>
        <w:pStyle w:val="FirstParagraph"/>
      </w:pPr>
      <w:r>
        <w:t xml:space="preserve">This strategic marketing plan outlines a targeted approach to position our environmental engineering consultancy as the premier service provider for sustainable infrastructure projects across Singapore. As Singapore intensifies its commitment to the</w:t>
      </w:r>
      <w:r>
        <w:t xml:space="preserve"> </w:t>
      </w:r>
      <w:r>
        <w:rPr>
          <w:iCs/>
          <w:i/>
        </w:rPr>
        <w:t xml:space="preserve">Green Plan 2030</w:t>
      </w:r>
      <w:r>
        <w:t xml:space="preserve">, demand for specialized Environmental Engineers has surged, creating a critical market opportunity. Our plan leverages Singapore's regulatory landscape and urban challenges to establish market leadership through innovative environmental solutions, targeting government agencies, developers, and industrial clients seeking certified sustainability expertise. This Marketing Plan will drive 40% year-on-year revenue growth by 2025 while cementing our reputation as Singapore's most trusted Environmental Engineer partner.</w:t>
      </w:r>
    </w:p>
    <w:bookmarkEnd w:id="20"/>
    <w:bookmarkStart w:id="21" w:name="Xf5ea8cf10b0fab2f4f127e5585e03ba05e55a41"/>
    <w:p>
      <w:pPr>
        <w:pStyle w:val="Heading2"/>
      </w:pPr>
      <w:r>
        <w:t xml:space="preserve">Market Analysis: Singapore-Specific Dynamics</w:t>
      </w:r>
    </w:p>
    <w:p>
      <w:pPr>
        <w:pStyle w:val="FirstParagraph"/>
      </w:pPr>
      <w:r>
        <w:t xml:space="preserve">Singapore's aggressive environmental agenda – including carbon neutrality targets by 2050 and the</w:t>
      </w:r>
      <w:r>
        <w:t xml:space="preserve"> </w:t>
      </w:r>
      <w:r>
        <w:rPr>
          <w:iCs/>
          <w:i/>
        </w:rPr>
        <w:t xml:space="preserve">Water Reuse 4.0</w:t>
      </w:r>
      <w:r>
        <w:t xml:space="preserve"> </w:t>
      </w:r>
      <w:r>
        <w:t xml:space="preserve">initiative – has generated unprecedented demand for Environmental Engineers. The Urban Redevelopment Authority (URA) now mandates comprehensive environmental impact assessments for all major developments, while the National Environment Agency (NEA) enforces strict air/water quality standards. With 85% of Singapore's land area requiring sustainable redevelopment and climate change vulnerabilities increasing, the market for Environmental Engineer services has grown at 12.3% CAGR since 2020 (Singapore Economic Development Board, 2023). Competitors often lack integrated expertise across waste management, carbon accounting, and nature-based solutions – creating a clear differentiation opportunity for our firm.</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Singapore segments:</w:t>
      </w:r>
    </w:p>
    <w:p>
      <w:pPr>
        <w:numPr>
          <w:ilvl w:val="0"/>
          <w:numId w:val="1001"/>
        </w:numPr>
        <w:pStyle w:val="Compact"/>
      </w:pPr>
      <w:r>
        <w:rPr>
          <w:bCs/>
          <w:b/>
        </w:rPr>
        <w:t xml:space="preserve">Government Agencies</w:t>
      </w:r>
      <w:r>
        <w:t xml:space="preserve">: NEA, PUB, and URA seeking Environmental Engineers for public infrastructure projects (e.g., NEWater plants, coastal resilience). These entities prioritize certified compliance and local regulatory expertise.</w:t>
      </w:r>
    </w:p>
    <w:p>
      <w:pPr>
        <w:numPr>
          <w:ilvl w:val="0"/>
          <w:numId w:val="1001"/>
        </w:numPr>
        <w:pStyle w:val="Compact"/>
      </w:pPr>
      <w:r>
        <w:rPr>
          <w:bCs/>
          <w:b/>
        </w:rPr>
        <w:t xml:space="preserve">Property Developers</w:t>
      </w:r>
      <w:r>
        <w:t xml:space="preserve">: Major firms like CapitaLand and Keppel Land requiring Environmental Engineers to achieve BCA Green Mark certification for new commercial/residential towers.</w:t>
      </w:r>
    </w:p>
    <w:p>
      <w:pPr>
        <w:numPr>
          <w:ilvl w:val="0"/>
          <w:numId w:val="1001"/>
        </w:numPr>
        <w:pStyle w:val="Compact"/>
      </w:pPr>
      <w:r>
        <w:rPr>
          <w:bCs/>
          <w:b/>
        </w:rPr>
        <w:t xml:space="preserve">Industrial Clients</w:t>
      </w:r>
      <w:r>
        <w:t xml:space="preserve">: Manufacturing, oil &amp; gas, and food processing sectors needing Environmental Engineers to meet NEA emission standards and transition toward circular economy models.</w:t>
      </w:r>
    </w:p>
    <w:bookmarkEnd w:id="22"/>
    <w:bookmarkStart w:id="23" w:name="unique-value-proposition"/>
    <w:p>
      <w:pPr>
        <w:pStyle w:val="Heading2"/>
      </w:pPr>
      <w:r>
        <w:t xml:space="preserve">Unique Value Proposition</w:t>
      </w:r>
    </w:p>
    <w:p>
      <w:pPr>
        <w:pStyle w:val="FirstParagraph"/>
      </w:pPr>
      <w:r>
        <w:t xml:space="preserve">We position ourselves as Singapore's only full-spectrum Environmental Engineer consultancy integrating cutting-edge technology with hyper-local regulatory knowledge. Unlike competitors, our services include:</w:t>
      </w:r>
    </w:p>
    <w:p>
      <w:pPr>
        <w:numPr>
          <w:ilvl w:val="0"/>
          <w:numId w:val="1002"/>
        </w:numPr>
        <w:pStyle w:val="Compact"/>
      </w:pPr>
      <w:r>
        <w:rPr>
          <w:iCs/>
          <w:i/>
        </w:rPr>
        <w:t xml:space="preserve">AI-Powered Environmental Monitoring Systems</w:t>
      </w:r>
      <w:r>
        <w:t xml:space="preserve">: Real-time air/water quality analytics compliant with NEA standards</w:t>
      </w:r>
    </w:p>
    <w:p>
      <w:pPr>
        <w:numPr>
          <w:ilvl w:val="0"/>
          <w:numId w:val="1002"/>
        </w:numPr>
        <w:pStyle w:val="Compact"/>
      </w:pPr>
      <w:r>
        <w:rPr>
          <w:iCs/>
          <w:i/>
        </w:rPr>
        <w:t xml:space="preserve">Singapore-Certified Carbon Accounting</w:t>
      </w:r>
      <w:r>
        <w:t xml:space="preserve">: Direct alignment with Singapore's National Carbon Tax and Emissions Trading Scheme</w:t>
      </w:r>
    </w:p>
    <w:p>
      <w:pPr>
        <w:numPr>
          <w:ilvl w:val="0"/>
          <w:numId w:val="1002"/>
        </w:numPr>
        <w:pStyle w:val="Compact"/>
      </w:pPr>
      <w:r>
        <w:rPr>
          <w:iCs/>
          <w:i/>
        </w:rPr>
        <w:t xml:space="preserve">Nature-Based Solutions Frameworks</w:t>
      </w:r>
      <w:r>
        <w:t xml:space="preserve">: Customized green infrastructure for Singapore's tropical context (e.g., urban cooling via biodiverse parks)</w:t>
      </w:r>
    </w:p>
    <w:p>
      <w:pPr>
        <w:pStyle w:val="FirstParagraph"/>
      </w:pPr>
      <w:r>
        <w:t xml:space="preserve">This proprietary approach solves the critical pain points of Singapore clients: regulatory uncertainty, project delays from non-compliance, and reputational risk in sustainability reporting.</w:t>
      </w:r>
    </w:p>
    <w:bookmarkEnd w:id="23"/>
    <w:bookmarkStart w:id="28" w:name="strategic-marketing-initiatives"/>
    <w:p>
      <w:pPr>
        <w:pStyle w:val="Heading2"/>
      </w:pPr>
      <w:r>
        <w:t xml:space="preserve">Strategic Marketing Initiatives</w:t>
      </w:r>
    </w:p>
    <w:p>
      <w:pPr>
        <w:pStyle w:val="FirstParagraph"/>
      </w:pPr>
      <w:r>
        <w:t xml:space="preserve">Our 12-month Marketing Plan delivers maximum impact through Singapore-focused channels:</w:t>
      </w:r>
    </w:p>
    <w:bookmarkStart w:id="24" w:name="government-partnership-program-q1-q2"/>
    <w:p>
      <w:pPr>
        <w:pStyle w:val="Heading3"/>
      </w:pPr>
      <w:r>
        <w:t xml:space="preserve">1. Government Partnership Program (Q1-Q2)</w:t>
      </w:r>
    </w:p>
    <w:p>
      <w:pPr>
        <w:pStyle w:val="FirstParagraph"/>
      </w:pPr>
      <w:r>
        <w:t xml:space="preserve">Targeting NEA and PUB through co-developed pilot projects. We'll position our lead Environmental Engineer as a technical advisor for the upcoming "Singapore Green Infrastructure Challenge," offering free feasibility studies for government-subsidized projects. This builds credibility and generates high-value case studies.</w:t>
      </w:r>
    </w:p>
    <w:bookmarkEnd w:id="24"/>
    <w:bookmarkStart w:id="25" w:name="X58f45071c816f672e2ca8d7348f6f6dc329acc5"/>
    <w:p>
      <w:pPr>
        <w:pStyle w:val="Heading3"/>
      </w:pPr>
      <w:r>
        <w:t xml:space="preserve">2. Developer Certification Accelerator (Q2-Q4)</w:t>
      </w:r>
    </w:p>
    <w:p>
      <w:pPr>
        <w:pStyle w:val="FirstParagraph"/>
      </w:pPr>
      <w:r>
        <w:t xml:space="preserve">Partnering with BCA to offer "Green Mark Fast-Track" workshops exclusively for Singapore developers. Our Environmental Engineer team will conduct on-site audits and provide instant compliance gap analysis – converting 70% of workshop attendees into service contracts.</w:t>
      </w:r>
    </w:p>
    <w:bookmarkEnd w:id="25"/>
    <w:bookmarkStart w:id="26" w:name="industrial-sustainability-portal-q3"/>
    <w:p>
      <w:pPr>
        <w:pStyle w:val="Heading3"/>
      </w:pPr>
      <w:r>
        <w:t xml:space="preserve">3. Industrial Sustainability Portal (Q3)</w:t>
      </w:r>
    </w:p>
    <w:p>
      <w:pPr>
        <w:pStyle w:val="FirstParagraph"/>
      </w:pPr>
      <w:r>
        <w:t xml:space="preserve">Launching a digital platform showcasing Singapore-specific case studies (e.g., "How we helped Jurong Island refinery achieve 40% lower emissions using our Environmental Engineer solutions"). The portal features NEA-compliant templates for carbon reporting and waste management plans, driving organic leads.</w:t>
      </w:r>
    </w:p>
    <w:bookmarkEnd w:id="26"/>
    <w:bookmarkStart w:id="27" w:name="thought-leadership-campaign"/>
    <w:p>
      <w:pPr>
        <w:pStyle w:val="Heading3"/>
      </w:pPr>
      <w:r>
        <w:t xml:space="preserve">4. Thought Leadership Campaign</w:t>
      </w:r>
    </w:p>
    <w:p>
      <w:pPr>
        <w:pStyle w:val="FirstParagraph"/>
      </w:pPr>
      <w:r>
        <w:t xml:space="preserve">Hosting quarterly "Sustainability in Singapore" webinars with URA planners and National University of Singapore environmental researchers. Our Environmental Engineer experts will present actionable insights on topics like "Integrating Blue-Green Infrastructure into Singapore's High-Density Context," positioning us as indispensable local advisors.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Negotiate 3 government pilot projects; Launch LinkedIn campaign targeting NEA procurement officers</w:t>
            </w:r>
          </w:p>
        </w:tc>
      </w:tr>
      <w:tr>
        <w:tc>
          <w:tcPr/>
          <w:p>
            <w:pPr>
              <w:pStyle w:val="Compact"/>
              <w:jc w:val="left"/>
            </w:pPr>
            <w:r>
              <w:t xml:space="preserve">Q2 2024</w:t>
            </w:r>
          </w:p>
        </w:tc>
        <w:tc>
          <w:tcPr/>
          <w:p>
            <w:pPr>
              <w:pStyle w:val="Compact"/>
              <w:jc w:val="left"/>
            </w:pPr>
            <w:r>
              <w:t xml:space="preserve">Execute Green Mark Fast-Track workshops; Release Singapore-focused sustainability report</w:t>
            </w:r>
          </w:p>
        </w:tc>
      </w:tr>
      <w:tr>
        <w:tc>
          <w:tcPr/>
          <w:p>
            <w:pPr>
              <w:pStyle w:val="Compact"/>
              <w:jc w:val="left"/>
            </w:pPr>
            <w:r>
              <w:t xml:space="preserve">Q3 2024</w:t>
            </w:r>
          </w:p>
        </w:tc>
        <w:tc>
          <w:tcPr/>
          <w:p>
            <w:pPr>
              <w:pStyle w:val="Compact"/>
              <w:jc w:val="left"/>
            </w:pPr>
            <w:r>
              <w:t xml:space="preserve">Deploy Industrial Sustainability Portal; Secure first major developer contract (target: $500K)</w:t>
            </w:r>
          </w:p>
        </w:tc>
      </w:tr>
      <w:tr>
        <w:tc>
          <w:tcPr/>
          <w:p>
            <w:pPr>
              <w:pStyle w:val="Compact"/>
              <w:jc w:val="left"/>
            </w:pPr>
            <w:r>
              <w:t xml:space="preserve">Q4 2024</w:t>
            </w:r>
          </w:p>
        </w:tc>
        <w:tc>
          <w:tcPr/>
          <w:p>
            <w:pPr>
              <w:pStyle w:val="Compact"/>
              <w:jc w:val="left"/>
            </w:pPr>
            <w:r>
              <w:t xml:space="preserve">Capture 15+ government referrals; Achieve 30% market share in NEA-compliant environmental assessments</w:t>
            </w:r>
          </w:p>
        </w:tc>
      </w:tr>
    </w:tbl>
    <w:bookmarkEnd w:id="29"/>
    <w:bookmarkStart w:id="30" w:name="measurement-kpis"/>
    <w:p>
      <w:pPr>
        <w:pStyle w:val="Heading2"/>
      </w:pPr>
      <w:r>
        <w:t xml:space="preserve">Measurement &amp; KPIs</w:t>
      </w:r>
    </w:p>
    <w:p>
      <w:pPr>
        <w:pStyle w:val="FirstParagraph"/>
      </w:pPr>
      <w:r>
        <w:t xml:space="preserve">We'll track success through Singapore-specific metrics:</w:t>
      </w:r>
    </w:p>
    <w:p>
      <w:pPr>
        <w:numPr>
          <w:ilvl w:val="0"/>
          <w:numId w:val="1003"/>
        </w:numPr>
        <w:pStyle w:val="Compact"/>
      </w:pPr>
      <w:r>
        <w:rPr>
          <w:bCs/>
          <w:b/>
        </w:rPr>
        <w:t xml:space="preserve">Government Contracts Won</w:t>
      </w:r>
      <w:r>
        <w:t xml:space="preserve">: Target 5 new NEA/PUB projects by Q4 (vs. 0 in current year)</w:t>
      </w:r>
    </w:p>
    <w:p>
      <w:pPr>
        <w:numPr>
          <w:ilvl w:val="0"/>
          <w:numId w:val="1003"/>
        </w:numPr>
        <w:pStyle w:val="Compact"/>
      </w:pPr>
      <w:r>
        <w:rPr>
          <w:bCs/>
          <w:b/>
        </w:rPr>
        <w:t xml:space="preserve">Green Mark Certification Rate</w:t>
      </w:r>
      <w:r>
        <w:t xml:space="preserve">: Achieve 95% client success rate for BCA certification support</w:t>
      </w:r>
    </w:p>
    <w:p>
      <w:pPr>
        <w:numPr>
          <w:ilvl w:val="0"/>
          <w:numId w:val="1003"/>
        </w:numPr>
        <w:pStyle w:val="Compact"/>
      </w:pPr>
      <w:r>
        <w:rPr>
          <w:bCs/>
          <w:b/>
        </w:rPr>
        <w:t xml:space="preserve">Sustainability ROI</w:t>
      </w:r>
      <w:r>
        <w:t xml:space="preserve">: Demonstrate average 30% reduction in clients' carbon footprint within 12 months of engagement</w:t>
      </w:r>
    </w:p>
    <w:p>
      <w:pPr>
        <w:numPr>
          <w:ilvl w:val="0"/>
          <w:numId w:val="1003"/>
        </w:numPr>
        <w:pStyle w:val="Compact"/>
      </w:pPr>
      <w:r>
        <w:rPr>
          <w:iCs/>
          <w:i/>
        </w:rPr>
        <w:t xml:space="preserve">Brand Perception Score</w:t>
      </w:r>
      <w:r>
        <w:t xml:space="preserve">: Increase "Top Choice for Environmental Engineer Services" rating among Singapore developers (from 28% to 65%) via annual surveys</w:t>
      </w:r>
    </w:p>
    <w:bookmarkEnd w:id="30"/>
    <w:bookmarkStart w:id="31" w:name="Xaf8886b91dcb3aa87b17abd8054cdbaabbc3fd6"/>
    <w:p>
      <w:pPr>
        <w:pStyle w:val="Heading2"/>
      </w:pPr>
      <w:r>
        <w:t xml:space="preserve">Conclusion: Driving Singapore's Sustainable Future</w:t>
      </w:r>
    </w:p>
    <w:p>
      <w:pPr>
        <w:pStyle w:val="FirstParagraph"/>
      </w:pPr>
      <w:r>
        <w:t xml:space="preserve">This Marketing Plan strategically positions our firm at the epicenter of Singapore's environmental transformation. By embedding our Environmental Engineer services within the nation's core sustainability initiatives – from Carbon Tax compliance to URA redevelopment frameworks – we transcend typical consultancy roles to become indispensable partners in building a resilient Singapore. Our approach delivers immediate client value while systematically expanding market share through localized solutions that meet Singapore's unique regulatory and ecological demands. As climate pressures intensify and government targets accelerate, this Marketing Plan ensures our Environmental Engineer team leads the charge toward a sustainable, thriving Singapore – one data-driven solution at a time.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Singapore</dc:title>
  <dc:creator/>
  <dc:language>en</dc:language>
  <cp:keywords/>
  <dcterms:created xsi:type="dcterms:W3CDTF">2026-07-23T10:08:33Z</dcterms:created>
  <dcterms:modified xsi:type="dcterms:W3CDTF">2026-07-23T10:08:33Z</dcterms:modified>
</cp:coreProperties>
</file>

<file path=docProps/custom.xml><?xml version="1.0" encoding="utf-8"?>
<Properties xmlns="http://schemas.openxmlformats.org/officeDocument/2006/custom-properties" xmlns:vt="http://schemas.openxmlformats.org/officeDocument/2006/docPropsVTypes"/>
</file>