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255b995d43cfcf5e95a20632f8c23938b39ba4"/>
    <w:p>
      <w:pPr>
        <w:pStyle w:val="Heading1"/>
      </w:pPr>
      <w:r>
        <w:t xml:space="preserve">Comprehensive Marketing Plan: Environmental Engineer Services for United Kingdom London Market</w:t>
      </w:r>
    </w:p>
    <w:bookmarkStart w:id="20" w:name="executive-summary"/>
    <w:p>
      <w:pPr>
        <w:pStyle w:val="Heading2"/>
      </w:pPr>
      <w:r>
        <w:t xml:space="preserve">Executive Summary</w:t>
      </w:r>
    </w:p>
    <w:p>
      <w:pPr>
        <w:pStyle w:val="FirstParagraph"/>
      </w:pPr>
      <w:r>
        <w:t xml:space="preserve">This Marketing Plan outlines a strategic roadmap for positioning and promoting Environmental Engineer services within the competitive landscape of the United Kingdom London. As London intensifies its commitments to net-zero emissions by 2030 and meets stringent UK environmental regulations, demand for specialized environmental engineering expertise is surging. This plan details how our firm will establish market leadership through data-driven marketing initiatives, targeting key sectors including construction, municipal authorities, and corporate sustainability departments across Greater London. Our primary objective is to become the preferred Environmental Engineer partner for major London projects within 24 months while achieving 35% market penetration in the commercial environmental consulting segment.</w:t>
      </w:r>
    </w:p>
    <w:bookmarkEnd w:id="20"/>
    <w:bookmarkStart w:id="21" w:name="Xcd25393dd03899d77caabdee0a7882d2c91ab2c"/>
    <w:p>
      <w:pPr>
        <w:pStyle w:val="Heading2"/>
      </w:pPr>
      <w:r>
        <w:t xml:space="preserve">Market Analysis: United Kingdom London Context</w:t>
      </w:r>
    </w:p>
    <w:p>
      <w:pPr>
        <w:pStyle w:val="FirstParagraph"/>
      </w:pPr>
      <w:r>
        <w:t xml:space="preserve">The United Kingdom London market presents a unique confluence of regulatory pressure, urban complexity, and sustainability ambition. With the UK's Environment Act 2021 setting legally binding targets for biodiversity net gain and air quality improvements, London boroughs face unprecedented compliance demands. According to the Greater London Authority's 2023 Sustainability Report, over 45% of London construction projects now require environmental impact assessments – a 78% increase since 2020. The market is further shaped by Transport for London's ultra-low emission zone (ULEZ) expansion and Mayor Sadiq Khan's Environment Strategy, creating urgent need for expert Environmental Engineer services. Competitors remain fragmented, with only 12% of UK environmental consultancies offering specialized London-focused solutions. This gap represents a significant opportunity for our firm to differentiate through hyper-local expertise in London-specific challenges like brownfield site remediation and Thames River flood mitigation.</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London Construction Developers:</w:t>
      </w:r>
      <w:r>
        <w:t xml:space="preserve"> </w:t>
      </w:r>
      <w:r>
        <w:t xml:space="preserve">Major firms like Balfour Beatty and Lendlease requiring Environmental Engineer services for planning consent, waste management, and carbon footprint reduction on projects over £50m.</w:t>
      </w:r>
    </w:p>
    <w:p>
      <w:pPr>
        <w:numPr>
          <w:ilvl w:val="0"/>
          <w:numId w:val="1001"/>
        </w:numPr>
        <w:pStyle w:val="Compact"/>
      </w:pPr>
      <w:r>
        <w:rPr>
          <w:bCs/>
          <w:b/>
        </w:rPr>
        <w:t xml:space="preserve">Municipal Authorities:</w:t>
      </w:r>
      <w:r>
        <w:t xml:space="preserve"> </w:t>
      </w:r>
      <w:r>
        <w:t xml:space="preserve">All 32 London boroughs and the City of London Corporation seeking Environmental Engineer partners for infrastructure projects meeting Climate Change Adaptation Strategy requirements.</w:t>
      </w:r>
    </w:p>
    <w:p>
      <w:pPr>
        <w:numPr>
          <w:ilvl w:val="0"/>
          <w:numId w:val="1001"/>
        </w:numPr>
        <w:pStyle w:val="Compact"/>
      </w:pPr>
      <w:r>
        <w:rPr>
          <w:bCs/>
          <w:b/>
        </w:rPr>
        <w:t xml:space="preserve">Corporate Sustainability Departments:</w:t>
      </w:r>
      <w:r>
        <w:t xml:space="preserve"> </w:t>
      </w:r>
      <w:r>
        <w:t xml:space="preserve">FTSE 100 companies headquartered in London (e.g., Unilever, HSBC) needing Environmental Engineer support for ESG reporting and supply chain decarbonization.</w:t>
      </w:r>
    </w:p>
    <w:p>
      <w:pPr>
        <w:pStyle w:val="FirstParagraph"/>
      </w:pPr>
      <w:r>
        <w:t xml:space="preserve">We will prioritize organizations with active London development pipelines or those facing upcoming regulatory deadlines. Our secondary audience includes property management firms managing commercial portfolios across the capital requiring ongoing environmental compliance monitoring.</w:t>
      </w:r>
    </w:p>
    <w:bookmarkEnd w:id="22"/>
    <w:bookmarkStart w:id="23" w:name="marketing-objectives-12-24-month-horizon"/>
    <w:p>
      <w:pPr>
        <w:pStyle w:val="Heading2"/>
      </w:pPr>
      <w:r>
        <w:t xml:space="preserve">Marketing Objectives (12-24 Month Horizon)</w:t>
      </w:r>
    </w:p>
    <w:p>
      <w:pPr>
        <w:numPr>
          <w:ilvl w:val="0"/>
          <w:numId w:val="1002"/>
        </w:numPr>
        <w:pStyle w:val="Compact"/>
      </w:pPr>
      <w:r>
        <w:t xml:space="preserve">Secure 30+ contracts with London-based construction firms within Year 1</w:t>
      </w:r>
    </w:p>
    <w:p>
      <w:pPr>
        <w:numPr>
          <w:ilvl w:val="0"/>
          <w:numId w:val="1002"/>
        </w:numPr>
        <w:pStyle w:val="Compact"/>
      </w:pPr>
      <w:r>
        <w:t xml:space="preserve">Achieve 65% brand recognition among target decision-makers in United Kingdom London's environmental consulting sector by Month 18</w:t>
      </w:r>
    </w:p>
    <w:p>
      <w:pPr>
        <w:numPr>
          <w:ilvl w:val="0"/>
          <w:numId w:val="1002"/>
        </w:numPr>
        <w:pStyle w:val="Compact"/>
      </w:pPr>
      <w:r>
        <w:t xml:space="preserve">Generate £2.4m in new business from the London market by Q4 Year 2</w:t>
      </w:r>
    </w:p>
    <w:p>
      <w:pPr>
        <w:numPr>
          <w:ilvl w:val="0"/>
          <w:numId w:val="1002"/>
        </w:numPr>
        <w:pStyle w:val="Compact"/>
      </w:pPr>
      <w:r>
        <w:t xml:space="preserve">Position as the top-rated Environmental Engineer service provider on Google Business for "London environmental consultant" (based on UK marketing analytics)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Content Leadership:</w:t>
      </w:r>
      <w:r>
        <w:t xml:space="preserve"> </w:t>
      </w:r>
      <w:r>
        <w:t xml:space="preserve">Develop London-specific case studies showcasing Environmental Engineer solutions for iconic projects like the Thames Tideway Tunnel and Crossrail 2. Produce quarterly "London Sustainability Briefings" addressing borough-specific regulations (e.g., Ealing's new pollution controls), distributed via email marketing and LinkedIn to target audiences. All content will explicitly reference United Kingdom London context with location tags.</w:t>
      </w:r>
    </w:p>
    <w:p>
      <w:pPr>
        <w:pStyle w:val="BodyText"/>
      </w:pPr>
      <w:r>
        <w:rPr>
          <w:bCs/>
          <w:b/>
        </w:rPr>
        <w:t xml:space="preserve">2. Strategic Partnerships:</w:t>
      </w:r>
      <w:r>
        <w:t xml:space="preserve"> </w:t>
      </w:r>
      <w:r>
        <w:t xml:space="preserve">Forge alliances with key London institutions including the Royal Institution of Chartered Surveyors (RICS) and Greater London Authority's environmental division. Co-host "London Climate Action Workshops" at Canary Wharf venues, featuring our Environmental Engineer team addressing borough-level compliance challenges.</w:t>
      </w:r>
    </w:p>
    <w:p>
      <w:pPr>
        <w:pStyle w:val="BodyText"/>
      </w:pPr>
      <w:r>
        <w:rPr>
          <w:bCs/>
          <w:b/>
        </w:rPr>
        <w:t xml:space="preserve">3. Digital Precision Targeting:</w:t>
      </w:r>
      <w:r>
        <w:t xml:space="preserve"> </w:t>
      </w:r>
      <w:r>
        <w:t xml:space="preserve">Implement advanced LinkedIn advertising with geo-fencing to target job titles (Head of Sustainability, Construction Manager) within 10-mile radius of London's Central Business District. Use keyword campaigns for "Environmental Engineer London" and "London environmental compliance consultant," leveraging UK-specific search volume data.</w:t>
      </w:r>
    </w:p>
    <w:p>
      <w:pPr>
        <w:pStyle w:val="BodyText"/>
      </w:pPr>
      <w:r>
        <w:rPr>
          <w:bCs/>
          <w:b/>
        </w:rPr>
        <w:t xml:space="preserve">4. Regulatory Thought Leadership:</w:t>
      </w:r>
      <w:r>
        <w:t xml:space="preserve"> </w:t>
      </w:r>
      <w:r>
        <w:t xml:space="preserve">Publish annual "London Environmental Compliance Guide" mapping the UK's Environment Act 2021 to London borough requirements, distributed at Mayor Khan's Climate Summit. Our Environmental Engineer team will provide free regulatory gap analysis webinars for London-based clients.</w:t>
      </w:r>
    </w:p>
    <w:p>
      <w:pPr>
        <w:pStyle w:val="BodyText"/>
      </w:pPr>
      <w:r>
        <w:rPr>
          <w:bCs/>
          <w:b/>
        </w:rPr>
        <w:t xml:space="preserve">5. Community Engagement:</w:t>
      </w:r>
      <w:r>
        <w:t xml:space="preserve"> </w:t>
      </w:r>
      <w:r>
        <w:t xml:space="preserve">Sponsor the City of London Corporation's Green Infrastructure Awards, positioning our Environmental Engineer professionals as judges and speakers – directly connecting with decision-makers in United Kingdom London's sustainability ecosystem.</w:t>
      </w:r>
    </w:p>
    <w:bookmarkEnd w:id="24"/>
    <w:bookmarkStart w:id="25" w:name="budget-allocation-timeline"/>
    <w:p>
      <w:pPr>
        <w:pStyle w:val="Heading2"/>
      </w:pPr>
      <w:r>
        <w:t xml:space="preserve">Budget Allocation &amp; Timeline</w:t>
      </w:r>
    </w:p>
    <w:p>
      <w:pPr>
        <w:pStyle w:val="FirstParagraph"/>
      </w:pPr>
      <w:r>
        <w:t xml:space="preserve">Marketing Activity</w:t>
      </w:r>
    </w:p>
    <w:p>
      <w:pPr>
        <w:pStyle w:val="BodyText"/>
      </w:pPr>
      <w:r>
        <w:t xml:space="preserve">Q1-Q2 Year 1</w:t>
      </w:r>
    </w:p>
    <w:p>
      <w:pPr>
        <w:pStyle w:val="BodyText"/>
      </w:pPr>
      <w:r>
        <w:t xml:space="preserve">Q3-Q4 Year 1</w:t>
      </w:r>
    </w:p>
    <w:p>
      <w:pPr>
        <w:pStyle w:val="BodyText"/>
      </w:pPr>
      <w:r>
        <w:t xml:space="preserve">Year 2 Focus</w:t>
      </w:r>
    </w:p>
    <w:p>
      <w:pPr>
        <w:pStyle w:val="BodyText"/>
      </w:pPr>
      <w:r>
        <w:t xml:space="preserve">Digital Campaigns &amp; SEO</w:t>
      </w:r>
    </w:p>
    <w:p>
      <w:pPr>
        <w:pStyle w:val="BodyText"/>
      </w:pPr>
      <w:r>
        <w:t xml:space="preserve">35%</w:t>
      </w:r>
    </w:p>
    <w:p>
      <w:pPr>
        <w:pStyle w:val="BodyText"/>
      </w:pPr>
      <w:r>
        <w:t xml:space="preserve">25%</w:t>
      </w:r>
    </w:p>
    <w:p>
      <w:pPr>
        <w:pStyle w:val="BodyText"/>
      </w:pPr>
      <w:r>
        <w:t xml:space="preserve">20%</w:t>
      </w:r>
    </w:p>
    <w:p>
      <w:pPr>
        <w:pStyle w:val="BodyText"/>
      </w:pPr>
      <w:r>
        <w:t xml:space="preserve">London Partnership Development</w:t>
      </w:r>
    </w:p>
    <w:p>
      <w:pPr>
        <w:pStyle w:val="BodyText"/>
      </w:pPr>
      <w:r>
        <w:t xml:space="preserve">20%</w:t>
      </w:r>
    </w:p>
    <w:p>
      <w:pPr>
        <w:pStyle w:val="BodyText"/>
      </w:pPr>
      <w:r>
        <w:t xml:space="preserve">&lt; td&gt;30%&lt; td &gt; 35%</w:t>
      </w:r>
    </w:p>
    <w:p>
      <w:pPr>
        <w:pStyle w:val="BodyText"/>
      </w:pPr>
      <w:r>
        <w:t xml:space="preserve">Total Year 1</w:t>
      </w:r>
    </w:p>
    <w:p>
      <w:pPr>
        <w:pStyle w:val="BodyText"/>
      </w:pPr>
      <w:r>
        <w:t xml:space="preserve">£185,000 (75% of total budget)</w:t>
      </w:r>
    </w:p>
    <w:p>
      <w:pPr>
        <w:pStyle w:val="BodyText"/>
      </w:pPr>
      <w:r>
        <w:t xml:space="preserve">Primary digital spend will target London-specific keywords with UK-based ad networks. Partnerships will focus on establishing credibility through London authority endorsements. Year 2 shifts to client retention and referral programs leveraging successful Environmental Engineer project outcomes.</w:t>
      </w:r>
    </w:p>
    <w:bookmarkEnd w:id="25"/>
    <w:bookmarkStart w:id="26" w:name="measurement-kpis"/>
    <w:p>
      <w:pPr>
        <w:pStyle w:val="Heading2"/>
      </w:pPr>
      <w:r>
        <w:t xml:space="preserve">Measurement &amp; KPIs</w:t>
      </w:r>
    </w:p>
    <w:p>
      <w:pPr>
        <w:pStyle w:val="FirstParagraph"/>
      </w:pPr>
      <w:r>
        <w:t xml:space="preserve">We track success through four core metrics aligned with United Kingdom London market dynamics:</w:t>
      </w:r>
    </w:p>
    <w:p>
      <w:pPr>
        <w:numPr>
          <w:ilvl w:val="0"/>
          <w:numId w:val="1003"/>
        </w:numPr>
        <w:pStyle w:val="Compact"/>
      </w:pPr>
      <w:r>
        <w:rPr>
          <w:bCs/>
          <w:b/>
        </w:rPr>
        <w:t xml:space="preserve">London Lead Quality:</w:t>
      </w:r>
      <w:r>
        <w:t xml:space="preserve"> </w:t>
      </w:r>
      <w:r>
        <w:t xml:space="preserve">75% of leads must demonstrate London project involvement (verified via client location data)</w:t>
      </w:r>
    </w:p>
    <w:p>
      <w:pPr>
        <w:numPr>
          <w:ilvl w:val="0"/>
          <w:numId w:val="1003"/>
        </w:numPr>
        <w:pStyle w:val="Compact"/>
      </w:pPr>
      <w:r>
        <w:rPr>
          <w:bCs/>
          <w:b/>
        </w:rPr>
        <w:t xml:space="preserve">Regulatory Relevance Score:</w:t>
      </w:r>
      <w:r>
        <w:t xml:space="preserve"> </w:t>
      </w:r>
      <w:r>
        <w:t xml:space="preserve">Content engagement metrics showing alignment with UK Environment Act implementation in London</w:t>
      </w:r>
    </w:p>
    <w:p>
      <w:pPr>
        <w:numPr>
          <w:ilvl w:val="0"/>
          <w:numId w:val="1003"/>
        </w:numPr>
        <w:pStyle w:val="Compact"/>
      </w:pPr>
      <w:r>
        <w:rPr>
          <w:bCs/>
          <w:b/>
        </w:rPr>
        <w:t xml:space="preserve">Cross-Sell Rate:</w:t>
      </w:r>
      <w:r>
        <w:t xml:space="preserve"> </w:t>
      </w:r>
      <w:r>
        <w:t xml:space="preserve">Percentage of construction clients adding municipal projects after initial Environmental Engineer service</w:t>
      </w:r>
    </w:p>
    <w:p>
      <w:pPr>
        <w:numPr>
          <w:ilvl w:val="0"/>
          <w:numId w:val="1003"/>
        </w:numPr>
        <w:pStyle w:val="Compact"/>
      </w:pPr>
      <w:r>
        <w:rPr>
          <w:bCs/>
          <w:b/>
        </w:rPr>
        <w:t xml:space="preserve">Borough Penetration Rate:</w:t>
      </w:r>
      <w:r>
        <w:t xml:space="preserve"> </w:t>
      </w:r>
      <w:r>
        <w:t xml:space="preserve">Number of London boroughs served (target: 15+ by Year 2)</w:t>
      </w:r>
    </w:p>
    <w:bookmarkEnd w:id="26"/>
    <w:bookmarkStart w:id="27" w:name="X2ca7391c594cc2b40ffc59f810a620229de44d1"/>
    <w:p>
      <w:pPr>
        <w:pStyle w:val="Heading2"/>
      </w:pPr>
      <w:r>
        <w:t xml:space="preserve">Conclusion: Positioning as the London Environmental Engineering Authority</w:t>
      </w:r>
    </w:p>
    <w:p>
      <w:pPr>
        <w:pStyle w:val="FirstParagraph"/>
      </w:pPr>
      <w:r>
        <w:t xml:space="preserve">This Marketing Plan establishes a clear pathway for our Environmental Engineer service to dominate the United Kingdom London market through unwavering focus on local regulatory complexity and urban challenges. Unlike generic environmental consultancies, we will position ourselves as the only firm with dedicated London operations, understanding borough-level compliance nuances and infrastructure constraints unique to Greater London. By embedding "London" in every marketing touchpoint – from case studies naming specific districts to geo-targeted content – we create an undeniable local expertise proposition. As London accelerates its environmental transformation, this plan ensures our Environmental Engineer services become the indispensable partner for achieving sustainable growth across the capital. The 24-month roadmap delivers measurable market share growth while directly contributing to United Kingdom London's ambitious climate goals through professional environmental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United Kingdom London</dc:title>
  <dc:creator/>
  <dc:language>en</dc:language>
  <cp:keywords/>
  <dcterms:created xsi:type="dcterms:W3CDTF">2026-07-23T14:15:02Z</dcterms:created>
  <dcterms:modified xsi:type="dcterms:W3CDTF">2026-07-23T14:15:02Z</dcterms:modified>
</cp:coreProperties>
</file>

<file path=docProps/custom.xml><?xml version="1.0" encoding="utf-8"?>
<Properties xmlns="http://schemas.openxmlformats.org/officeDocument/2006/custom-properties" xmlns:vt="http://schemas.openxmlformats.org/officeDocument/2006/docPropsVTypes"/>
</file>