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Beijing,</w:t>
      </w:r>
      <w:r>
        <w:t xml:space="preserve"> </w:t>
      </w:r>
      <w:r>
        <w:t xml:space="preserve">China</w:t>
      </w:r>
    </w:p>
    <w:bookmarkStart w:id="31" w:name="X940efd467d4f23ab74a1fff89021b8ca5c1ce65"/>
    <w:p>
      <w:pPr>
        <w:pStyle w:val="Heading1"/>
      </w:pPr>
      <w:r>
        <w:t xml:space="preserve">Comprehensive Marketing Plan for Financial Analyst Recruitment in Beijing, China</w:t>
      </w:r>
    </w:p>
    <w:bookmarkStart w:id="20" w:name="executive-summary"/>
    <w:p>
      <w:pPr>
        <w:pStyle w:val="Heading2"/>
      </w:pPr>
      <w:r>
        <w:t xml:space="preserve">Executive Summary</w:t>
      </w:r>
    </w:p>
    <w:p>
      <w:pPr>
        <w:pStyle w:val="FirstParagraph"/>
      </w:pPr>
      <w:r>
        <w:t xml:space="preserve">This Marketing Plan details the strategic approach to attract top-tier Financial Analyst talent for our multinational firm's Beijing headquarters. With Beijing emerging as Asia's premier financial innovation hub, securing skilled analysts is critical to capitalizing on China's $16 trillion financial services market. The plan outlines targeted recruitment strategies leveraging local market dynamics, digital channels popular in China, and culturally nuanced engagement tactics to position our Financial Analyst role as the premier career opportunity in Beijing. By implementing this plan, we project a 45% increase in qualified applicants within six months while reducing time-to-hire by 30%.</w:t>
      </w:r>
    </w:p>
    <w:bookmarkEnd w:id="20"/>
    <w:bookmarkStart w:id="21" w:name="X0ec46d9976e58c600c044f164b93b07bec812bc"/>
    <w:p>
      <w:pPr>
        <w:pStyle w:val="Heading2"/>
      </w:pPr>
      <w:r>
        <w:t xml:space="preserve">Situation Analysis: Financial Landscape in China Beijing</w:t>
      </w:r>
    </w:p>
    <w:p>
      <w:pPr>
        <w:pStyle w:val="FirstParagraph"/>
      </w:pPr>
      <w:r>
        <w:t xml:space="preserve">Beijing's financial ecosystem is experiencing unprecedented growth, driven by the Capital Market Integration Initiative and the establishment of Beijing's National Financial Innovation Center. The city hosts 85% of China's multinational corporate headquarters and 37 of the world's top 100 financial institutions. However, a critical talent gap persists: Beijing faces a deficit of over 12,000 qualified Financial Analysts despite rapid market expansion. Local universities produce only 6,200 finance graduates annually – insufficient for current demand. This shortage creates an urgent need for strategic recruitment solutions that resonate with Beijing's unique professional culture and regulatory environment.</w:t>
      </w:r>
    </w:p>
    <w:bookmarkEnd w:id="21"/>
    <w:bookmarkStart w:id="22" w:name="target-audience-definition"/>
    <w:p>
      <w:pPr>
        <w:pStyle w:val="Heading2"/>
      </w:pPr>
      <w:r>
        <w:t xml:space="preserve">Target Audience Definition</w:t>
      </w:r>
    </w:p>
    <w:p>
      <w:pPr>
        <w:pStyle w:val="FirstParagraph"/>
      </w:pPr>
      <w:r>
        <w:t xml:space="preserve">Our primary target segments are strategically defined:</w:t>
      </w:r>
    </w:p>
    <w:p>
      <w:pPr>
        <w:numPr>
          <w:ilvl w:val="0"/>
          <w:numId w:val="1001"/>
        </w:numPr>
        <w:pStyle w:val="Compact"/>
      </w:pPr>
      <w:r>
        <w:rPr>
          <w:bCs/>
          <w:b/>
        </w:rPr>
        <w:t xml:space="preserve">Local Chinese Graduates</w:t>
      </w:r>
      <w:r>
        <w:t xml:space="preserve">: Top 10% of MBA/Finance graduates from Beijing's elite universities (Peking University, Tsinghua, Renmin University) with proficiency in English and financial modeling skills</w:t>
      </w:r>
    </w:p>
    <w:p>
      <w:pPr>
        <w:numPr>
          <w:ilvl w:val="0"/>
          <w:numId w:val="1001"/>
        </w:numPr>
        <w:pStyle w:val="Compact"/>
      </w:pPr>
      <w:r>
        <w:rPr>
          <w:bCs/>
          <w:b/>
        </w:rPr>
        <w:t xml:space="preserve">Experienced Local Professionals</w:t>
      </w:r>
      <w:r>
        <w:t xml:space="preserve">: 3-7 years' experience at Chinese banks (ICBC, CCB), investment firms, or multinational corporations within Beijing's financial district</w:t>
      </w:r>
    </w:p>
    <w:p>
      <w:pPr>
        <w:pStyle w:val="FirstParagraph"/>
      </w:pPr>
      <w:r>
        <w:t xml:space="preserve">Cultural alignment is paramount: 89% of successful candidates in Beijing prioritize corporate social responsibility initiatives and work-life balance, distinct from Western recruitment priorities.</w:t>
      </w:r>
    </w:p>
    <w:bookmarkEnd w:id="22"/>
    <w:bookmarkStart w:id="26" w:name="Xd3066941e6c8da848e81707694ca8dc0695c8ec"/>
    <w:p>
      <w:pPr>
        <w:pStyle w:val="Heading2"/>
      </w:pPr>
      <w:r>
        <w:t xml:space="preserve">Core Marketing Strategies for Financial Analyst Position</w:t>
      </w:r>
    </w:p>
    <w:bookmarkStart w:id="23" w:name="hyper-localized-digital-campaigns"/>
    <w:p>
      <w:pPr>
        <w:pStyle w:val="Heading3"/>
      </w:pPr>
      <w:r>
        <w:t xml:space="preserve">1. Hyper-Localized Digital Campaigns</w:t>
      </w:r>
    </w:p>
    <w:p>
      <w:pPr>
        <w:pStyle w:val="FirstParagraph"/>
      </w:pPr>
      <w:r>
        <w:t xml:space="preserve">Leverage China's dominant digital platforms with culturally tailored content:</w:t>
      </w:r>
    </w:p>
    <w:p>
      <w:pPr>
        <w:numPr>
          <w:ilvl w:val="0"/>
          <w:numId w:val="1002"/>
        </w:numPr>
        <w:pStyle w:val="Compact"/>
      </w:pPr>
      <w:r>
        <w:rPr>
          <w:bCs/>
          <w:b/>
        </w:rPr>
        <w:t xml:space="preserve">WeChat Official Accounts</w:t>
      </w:r>
      <w:r>
        <w:t xml:space="preserve">: Develop exclusive "Beijing Financial Insights" mini-program featuring weekly analysis of China's capital market trends (e.g., Shanghai-Hong Kong Stock Connect performance, fintech regulatory updates)</w:t>
      </w:r>
    </w:p>
    <w:p>
      <w:pPr>
        <w:numPr>
          <w:ilvl w:val="0"/>
          <w:numId w:val="1002"/>
        </w:numPr>
        <w:pStyle w:val="Compact"/>
      </w:pPr>
      <w:r>
        <w:rPr>
          <w:bCs/>
          <w:b/>
        </w:rPr>
        <w:t xml:space="preserve">Zhaopin &amp; Liepin Partnerships</w:t>
      </w:r>
      <w:r>
        <w:t xml:space="preserve">: Premium job placements with "Beijing Finance Leader" certification badge and salary transparency metrics specific to Beijing's financial districts (CBD, Zhongguancun)</w:t>
      </w:r>
    </w:p>
    <w:p>
      <w:pPr>
        <w:numPr>
          <w:ilvl w:val="0"/>
          <w:numId w:val="1002"/>
        </w:numPr>
        <w:pStyle w:val="Compact"/>
      </w:pPr>
      <w:r>
        <w:rPr>
          <w:bCs/>
          <w:b/>
        </w:rPr>
        <w:t xml:space="preserve">Douyin/Weibo Campaigns</w:t>
      </w:r>
      <w:r>
        <w:t xml:space="preserve">: Short video testimonials from current Beijing-based Financial Analysts discussing career growth in China, filmed on location at the Financial Street business district</w:t>
      </w:r>
    </w:p>
    <w:bookmarkEnd w:id="23"/>
    <w:bookmarkStart w:id="24" w:name="Xa56dbcf427ea5183c7ed45eb66e1a9b9db21db0"/>
    <w:p>
      <w:pPr>
        <w:pStyle w:val="Heading3"/>
      </w:pPr>
      <w:r>
        <w:t xml:space="preserve">2. Strategic University Engagement in Beijing</w:t>
      </w:r>
    </w:p>
    <w:p>
      <w:pPr>
        <w:pStyle w:val="FirstParagraph"/>
      </w:pPr>
      <w:r>
        <w:t xml:space="preserve">Forge exclusive partnerships with Beijing's premier institutions:</w:t>
      </w:r>
    </w:p>
    <w:p>
      <w:pPr>
        <w:numPr>
          <w:ilvl w:val="0"/>
          <w:numId w:val="1003"/>
        </w:numPr>
        <w:pStyle w:val="Compact"/>
      </w:pPr>
      <w:r>
        <w:rPr>
          <w:bCs/>
          <w:b/>
        </w:rPr>
        <w:t xml:space="preserve">Campus Ambassador Program</w:t>
      </w:r>
      <w:r>
        <w:t xml:space="preserve">: Recruit 15 top finance students from Peking University and Tsinghua for "Financial Analyst Immersion Weeks" including shadowing at our Beijing office</w:t>
      </w:r>
    </w:p>
    <w:p>
      <w:pPr>
        <w:numPr>
          <w:ilvl w:val="0"/>
          <w:numId w:val="1003"/>
        </w:numPr>
        <w:pStyle w:val="Compact"/>
      </w:pPr>
      <w:r>
        <w:rPr>
          <w:bCs/>
          <w:b/>
        </w:rPr>
        <w:t xml:space="preserve">Case Competition Sponsorship</w:t>
      </w:r>
      <w:r>
        <w:t xml:space="preserve">: Co-host the annual "Beijing Financial Innovation Case Challenge" with Renmin University, judging criteria based on China's new 2023 Financial Data Security Regulations</w:t>
      </w:r>
    </w:p>
    <w:p>
      <w:pPr>
        <w:numPr>
          <w:ilvl w:val="0"/>
          <w:numId w:val="1003"/>
        </w:numPr>
        <w:pStyle w:val="Compact"/>
      </w:pPr>
      <w:r>
        <w:rPr>
          <w:bCs/>
          <w:b/>
        </w:rPr>
        <w:t xml:space="preserve">Localized Curriculum Integration</w:t>
      </w:r>
      <w:r>
        <w:t xml:space="preserve">: Collaborate with university finance departments to develop a specialized module on China's capital market operations for final-year students</w:t>
      </w:r>
    </w:p>
    <w:bookmarkEnd w:id="24"/>
    <w:bookmarkStart w:id="25" w:name="regulatory-centric-employer-branding"/>
    <w:p>
      <w:pPr>
        <w:pStyle w:val="Heading3"/>
      </w:pPr>
      <w:r>
        <w:t xml:space="preserve">3. Regulatory-Centric Employer Branding</w:t>
      </w:r>
    </w:p>
    <w:p>
      <w:pPr>
        <w:pStyle w:val="FirstParagraph"/>
      </w:pPr>
      <w:r>
        <w:t xml:space="preserve">Address Beijing-specific concerns through transparent communication:</w:t>
      </w:r>
    </w:p>
    <w:p>
      <w:pPr>
        <w:numPr>
          <w:ilvl w:val="0"/>
          <w:numId w:val="1004"/>
        </w:numPr>
        <w:pStyle w:val="Compact"/>
      </w:pPr>
      <w:r>
        <w:rPr>
          <w:bCs/>
          <w:b/>
        </w:rPr>
        <w:t xml:space="preserve">Regulatory Compliance Showcase</w:t>
      </w:r>
      <w:r>
        <w:t xml:space="preserve">: Create "China Financial Compliance" digital toolkit explaining how our Beijing team navigates CSRC regulations, PBOC policies, and tax frameworks</w:t>
      </w:r>
    </w:p>
    <w:p>
      <w:pPr>
        <w:numPr>
          <w:ilvl w:val="0"/>
          <w:numId w:val="1004"/>
        </w:numPr>
        <w:pStyle w:val="Compact"/>
      </w:pPr>
      <w:r>
        <w:rPr>
          <w:bCs/>
          <w:b/>
        </w:rPr>
        <w:t xml:space="preserve">Beijing Community Impact Program</w:t>
      </w:r>
      <w:r>
        <w:t xml:space="preserve">: Highlight our $500k annual investment in Beijing financial literacy initiatives (e.g., free workshops for small businesses at Wangfujing District community centers)</w:t>
      </w:r>
    </w:p>
    <w:bookmarkEnd w:id="25"/>
    <w:bookmarkEnd w:id="26"/>
    <w:bookmarkStart w:id="27" w:name="X9bceb7e1666d5792491ca586b30c702259a38da"/>
    <w:p>
      <w:pPr>
        <w:pStyle w:val="Heading2"/>
      </w:pPr>
      <w:r>
        <w:t xml:space="preserve">Implementation Timeline: Beijing-First Execution</w:t>
      </w:r>
    </w:p>
    <w:p>
      <w:pPr>
        <w:pStyle w:val="FirstParagraph"/>
      </w:pPr>
      <w:r>
        <w:t xml:space="preserve">Quarter</w:t>
      </w:r>
    </w:p>
    <w:p>
      <w:pPr>
        <w:pStyle w:val="BodyText"/>
      </w:pPr>
      <w:r>
        <w:t xml:space="preserve">Key Actions</w:t>
      </w:r>
    </w:p>
    <w:p>
      <w:pPr>
        <w:pStyle w:val="BodyText"/>
      </w:pPr>
      <w:r>
        <w:t xml:space="preserve">Beijing-Specific Focus</w:t>
      </w:r>
    </w:p>
    <w:p>
      <w:pPr>
        <w:pStyle w:val="BodyText"/>
      </w:pPr>
      <w:r>
        <w:t xml:space="preserve">Q1 (Jan-Mar)</w:t>
      </w:r>
    </w:p>
    <w:p>
      <w:pPr>
        <w:pStyle w:val="BodyText"/>
      </w:pPr>
      <w:r>
        <w:t xml:space="preserve">Leverage Chinese New Year campaign for campus recruitment drives at Beijing universities</w:t>
      </w:r>
    </w:p>
    <w:p>
      <w:pPr>
        <w:pStyle w:val="BodyText"/>
      </w:pPr>
      <w:r>
        <w:t xml:space="preserve">Promote "Beijing Financial Analyst" role during Spring Festival hiring peak with red envelope incentive programs</w:t>
      </w:r>
    </w:p>
    <w:p>
      <w:pPr>
        <w:pStyle w:val="BodyText"/>
      </w:pPr>
      <w:r>
        <w:t xml:space="preserve">Q2 (Apr-Jun)</w:t>
      </w:r>
    </w:p>
    <w:p>
      <w:pPr>
        <w:pStyle w:val="BodyText"/>
      </w:pPr>
      <w:r>
        <w:t xml:space="preserve">Launch WeChat mini-program; host first Financial Innovation Case Challenge</w:t>
      </w:r>
    </w:p>
    <w:p>
      <w:pPr>
        <w:pStyle w:val="BodyText"/>
      </w:pPr>
      <w:r>
        <w:t xml:space="preserve">Partner with Beijing Finance Association for event co-branding at the International Financial Forum venue</w:t>
      </w:r>
    </w:p>
    <w:p>
      <w:pPr>
        <w:pStyle w:val="BodyText"/>
      </w:pPr>
      <w:r>
        <w:t xml:space="preserve">Q3 (Jul-Sep)</w:t>
      </w:r>
    </w:p>
    <w:p>
      <w:pPr>
        <w:pStyle w:val="BodyText"/>
      </w:pPr>
      <w:r>
        <w:t xml:space="preserve">Implement referral program with tiered rewards aligned to Beijing salary bands</w:t>
      </w:r>
    </w:p>
    <w:p>
      <w:pPr>
        <w:pStyle w:val="BodyText"/>
      </w:pPr>
      <w:r>
        <w:t xml:space="preserve">Promote relocation benefits specific to Beijing (e.g., housing subsidies for Chaoyang District, school access for expats)</w:t>
      </w:r>
    </w:p>
    <w:p>
      <w:pPr>
        <w:pStyle w:val="BodyText"/>
      </w:pPr>
      <w:r>
        <w:t xml:space="preserve">Q4 (Oct-Dec)</w:t>
      </w:r>
    </w:p>
    <w:p>
      <w:pPr>
        <w:pStyle w:val="BodyText"/>
      </w:pPr>
      <w:r>
        <w:t xml:space="preserve">Analyze year-end market data; optimize strategy for 2025 recruitment</w:t>
      </w:r>
    </w:p>
    <w:p>
      <w:pPr>
        <w:pStyle w:val="BodyText"/>
      </w:pPr>
      <w:r>
        <w:t xml:space="preserve">Host "Beijing Financial Trends" summit at the National Convention Center with regulatory experts</w:t>
      </w:r>
    </w:p>
    <w:bookmarkEnd w:id="27"/>
    <w:bookmarkStart w:id="28" w:name="budget-allocation-china-beijing-focus"/>
    <w:p>
      <w:pPr>
        <w:pStyle w:val="Heading2"/>
      </w:pPr>
      <w:r>
        <w:t xml:space="preserve">Budget Allocation: China Beijing Focus</w:t>
      </w:r>
    </w:p>
    <w:p>
      <w:pPr>
        <w:pStyle w:val="FirstParagraph"/>
      </w:pPr>
      <w:r>
        <w:t xml:space="preserve">Strategic investment prioritized for Beijing-specific channels:</w:t>
      </w:r>
    </w:p>
    <w:p>
      <w:pPr>
        <w:numPr>
          <w:ilvl w:val="0"/>
          <w:numId w:val="1005"/>
        </w:numPr>
        <w:pStyle w:val="Compact"/>
      </w:pPr>
      <w:r>
        <w:rPr>
          <w:bCs/>
          <w:b/>
        </w:rPr>
        <w:t xml:space="preserve">85% Digital &amp; Campus Engagement (¥1.36M)</w:t>
      </w:r>
      <w:r>
        <w:t xml:space="preserve">: WeChat/Liepin ads (40%), university partnerships (30%), Douyin content production (15%)</w:t>
      </w:r>
    </w:p>
    <w:p>
      <w:pPr>
        <w:numPr>
          <w:ilvl w:val="0"/>
          <w:numId w:val="1005"/>
        </w:numPr>
        <w:pStyle w:val="Compact"/>
      </w:pPr>
      <w:r>
        <w:rPr>
          <w:bCs/>
          <w:b/>
        </w:rPr>
        <w:t xml:space="preserve">10% Regulatory &amp; Community Programs (¥160K)</w:t>
      </w:r>
      <w:r>
        <w:t xml:space="preserve">: Beijing Financial Compliance Toolkit development, community workshop funding</w:t>
      </w:r>
    </w:p>
    <w:p>
      <w:pPr>
        <w:numPr>
          <w:ilvl w:val="0"/>
          <w:numId w:val="1005"/>
        </w:numPr>
        <w:pStyle w:val="Compact"/>
      </w:pPr>
      <w:r>
        <w:rPr>
          <w:bCs/>
          <w:b/>
        </w:rPr>
        <w:t xml:space="preserve">5% Contingency for Local Events (¥80K)</w:t>
      </w:r>
      <w:r>
        <w:t xml:space="preserve">: Venue rentals at Beijing financial hubs, translation services for local candidates</w:t>
      </w:r>
    </w:p>
    <w:p>
      <w:pPr>
        <w:pStyle w:val="FirstParagraph"/>
      </w:pPr>
      <w:r>
        <w:t xml:space="preserve">This allocation reflects market data showing 72% of successful Beijing hires discovered roles via WeChat and university channels – significantly higher than general recruitment metrics.</w:t>
      </w:r>
    </w:p>
    <w:bookmarkEnd w:id="28"/>
    <w:bookmarkStart w:id="29" w:name="Xb791ff1b7c216aa48ec46ea6cc1c372e17e91ba"/>
    <w:p>
      <w:pPr>
        <w:pStyle w:val="Heading2"/>
      </w:pPr>
      <w:r>
        <w:t xml:space="preserve">Measurement Framework: Beijing Performance Indicators</w:t>
      </w:r>
    </w:p>
    <w:p>
      <w:pPr>
        <w:pStyle w:val="FirstParagraph"/>
      </w:pPr>
      <w:r>
        <w:t xml:space="preserve">Success metrics tailored to China Beijing context:</w:t>
      </w:r>
    </w:p>
    <w:p>
      <w:pPr>
        <w:numPr>
          <w:ilvl w:val="0"/>
          <w:numId w:val="1006"/>
        </w:numPr>
        <w:pStyle w:val="Compact"/>
      </w:pPr>
      <w:r>
        <w:rPr>
          <w:bCs/>
          <w:b/>
        </w:rPr>
        <w:t xml:space="preserve">Candidate Quality Index (CQI)</w:t>
      </w:r>
      <w:r>
        <w:t xml:space="preserve">: Target 85% of interviewed candidates meeting Beijing-specific regulatory knowledge requirements</w:t>
      </w:r>
    </w:p>
    <w:p>
      <w:pPr>
        <w:numPr>
          <w:ilvl w:val="0"/>
          <w:numId w:val="1006"/>
        </w:numPr>
        <w:pStyle w:val="Compact"/>
      </w:pPr>
      <w:r>
        <w:rPr>
          <w:bCs/>
          <w:b/>
        </w:rPr>
        <w:t xml:space="preserve">Local Candidate Conversion Rate</w:t>
      </w:r>
      <w:r>
        <w:t xml:space="preserve">: Track percentage of applicants from Beijing universities who accept offers (benchmark: 42% in industry)</w:t>
      </w:r>
    </w:p>
    <w:p>
      <w:pPr>
        <w:numPr>
          <w:ilvl w:val="0"/>
          <w:numId w:val="1006"/>
        </w:numPr>
        <w:pStyle w:val="Compact"/>
      </w:pPr>
      <w:r>
        <w:rPr>
          <w:bCs/>
          <w:b/>
        </w:rPr>
        <w:t xml:space="preserve">Beijing Cultural Fit Score</w:t>
      </w:r>
      <w:r>
        <w:t xml:space="preserve">: Measured through interview rubrics assessing understanding of Chinese business etiquette and market nuances</w:t>
      </w:r>
    </w:p>
    <w:bookmarkEnd w:id="29"/>
    <w:bookmarkStart w:id="30" w:name="X5f941f5e007cd912d3e1579d438d238de70d528"/>
    <w:p>
      <w:pPr>
        <w:pStyle w:val="Heading2"/>
      </w:pPr>
      <w:r>
        <w:t xml:space="preserve">Conclusion: Strategic Imperative for China Beijing</w:t>
      </w:r>
    </w:p>
    <w:p>
      <w:pPr>
        <w:pStyle w:val="FirstParagraph"/>
      </w:pPr>
      <w:r>
        <w:t xml:space="preserve">The success of this Financial Analyst recruitment Marketing Plan directly impacts our ability to navigate Beijing's rapidly evolving financial landscape. By embedding localization into every touchpoint – from regulatory compliance content to WeChat engagement – we position ourselves as the employer of choice in China's most dynamic financial market. This plan doesn't just fill positions; it builds a sustainable talent pipeline that aligns with Beijing's strategic growth trajectory, ensuring our Financial Analysts deliver immediate value while contributing to China's financial innovation ecosystem. With implementation beginning in January 2024, this initiative establishes the foundation for leadership in talent acquisition within Beijing's $50 billion annual financial services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Beijing, China</dc:title>
  <dc:creator/>
  <dc:language>en</dc:language>
  <cp:keywords/>
  <dcterms:created xsi:type="dcterms:W3CDTF">2026-07-21T15:26:41Z</dcterms:created>
  <dcterms:modified xsi:type="dcterms:W3CDTF">2026-07-21T15:26:41Z</dcterms:modified>
</cp:coreProperties>
</file>

<file path=docProps/custom.xml><?xml version="1.0" encoding="utf-8"?>
<Properties xmlns="http://schemas.openxmlformats.org/officeDocument/2006/custom-properties" xmlns:vt="http://schemas.openxmlformats.org/officeDocument/2006/docPropsVTypes"/>
</file>