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31" w:name="X9a6daf176d5f477932e7436cd76306ba31ddc44"/>
    <w:p>
      <w:pPr>
        <w:pStyle w:val="Heading1"/>
      </w:pPr>
      <w:r>
        <w:t xml:space="preserve">Comprehensive Marketing Plan for Recruiting Top-Tier Financial Analysts in Germany Berlin</w:t>
      </w:r>
    </w:p>
    <w:bookmarkStart w:id="20" w:name="executive-summary"/>
    <w:p>
      <w:pPr>
        <w:pStyle w:val="Heading2"/>
      </w:pPr>
      <w:r>
        <w:t xml:space="preserve">Executive Summary</w:t>
      </w:r>
    </w:p>
    <w:p>
      <w:pPr>
        <w:pStyle w:val="FirstParagraph"/>
      </w:pPr>
      <w:r>
        <w:t xml:space="preserve">This Marketing Plan outlines a strategic approach to attract and secure elite Financial Analyst talent for our Berlin-based financial services firm. With Germany's capital emerging as Europe's premier fintech hub, we require a targeted recruitment strategy that speaks directly to the competitive German job market. This document details how we will position our Financial Analyst role as the pinnacle career opportunity in Germany Berlin through data-driven marketing tactics, cultural alignment, and employer branding initiatives. Our goal is to fill this critical position within 60 days while establishing long-term talent pipelines for Berlin's evolving financial ecosystem.</w:t>
      </w:r>
    </w:p>
    <w:bookmarkEnd w:id="20"/>
    <w:bookmarkStart w:id="21" w:name="X72b7bf75b0d3a86d0306724063ddf68d8bca869"/>
    <w:p>
      <w:pPr>
        <w:pStyle w:val="Heading2"/>
      </w:pPr>
      <w:r>
        <w:t xml:space="preserve">Market Analysis: The Berlin Financial Landscape</w:t>
      </w:r>
    </w:p>
    <w:p>
      <w:pPr>
        <w:pStyle w:val="FirstParagraph"/>
      </w:pPr>
      <w:r>
        <w:t xml:space="preserve">Germany Berlin has evolved into Europe's second-largest fintech hub after London, housing over 1,200 financial technology companies (Berlin Startup Report 2023). The demand for specialized Financial Analysts has surged by 45% year-over-year as multinational corporations and startups scale operations in Germany. However, the talent pool remains constrained by three key factors: (1) German universities produce only 18% of required finance graduates annually, (2) high competition from Berlin-based banks like Deutsche Bank and N26, and (3) language barriers for international candidates. Crucially, 78% of German Financial Analysts prioritize work-life balance and professional development opportunities over salary – a critical insight driving our Marketing Plan strategy.</w:t>
      </w:r>
    </w:p>
    <w:bookmarkEnd w:id="21"/>
    <w:bookmarkStart w:id="22" w:name="target-audience-definition"/>
    <w:p>
      <w:pPr>
        <w:pStyle w:val="Heading2"/>
      </w:pPr>
      <w:r>
        <w:t xml:space="preserve">Target Audience Definition</w:t>
      </w:r>
    </w:p>
    <w:p>
      <w:pPr>
        <w:pStyle w:val="FirstParagraph"/>
      </w:pPr>
      <w:r>
        <w:t xml:space="preserve">We have segmented our ideal candidate into three primary personas for precise targeting:</w:t>
      </w:r>
    </w:p>
    <w:p>
      <w:pPr>
        <w:numPr>
          <w:ilvl w:val="0"/>
          <w:numId w:val="1001"/>
        </w:numPr>
        <w:pStyle w:val="Compact"/>
      </w:pPr>
      <w:r>
        <w:rPr>
          <w:bCs/>
          <w:b/>
        </w:rPr>
        <w:t xml:space="preserve">Experienced Local Analysts</w:t>
      </w:r>
      <w:r>
        <w:t xml:space="preserve">: 3-7 years in Berlin-based firms (e.g., Commerzbank, DZ BANK), seeking advancement beyond entry-level roles with German fluency as non-negotiable.</w:t>
      </w:r>
    </w:p>
    <w:p>
      <w:pPr>
        <w:numPr>
          <w:ilvl w:val="0"/>
          <w:numId w:val="1001"/>
        </w:numPr>
        <w:pStyle w:val="Compact"/>
      </w:pPr>
      <w:r>
        <w:rPr>
          <w:bCs/>
          <w:b/>
        </w:rPr>
        <w:t xml:space="preserve">International Finance Graduates</w:t>
      </w:r>
      <w:r>
        <w:t xml:space="preserve">: EU citizens with MSc/MA in Finance from top universities (e.g., LSE, HEC Paris), targeting Germany Berlin for career progression and cultural exposure.</w:t>
      </w:r>
    </w:p>
    <w:p>
      <w:pPr>
        <w:numPr>
          <w:ilvl w:val="0"/>
          <w:numId w:val="1001"/>
        </w:numPr>
        <w:pStyle w:val="Compact"/>
      </w:pPr>
      <w:r>
        <w:rPr>
          <w:bCs/>
          <w:b/>
        </w:rPr>
        <w:t xml:space="preserve">Specialized Talent</w:t>
      </w:r>
      <w:r>
        <w:t xml:space="preserve">: Candidates with niche expertise in ESG investing or German tax compliance – a growing requirement driven by Europe's Green Deal mandates.</w:t>
      </w:r>
    </w:p>
    <w:bookmarkEnd w:id="22"/>
    <w:bookmarkStart w:id="23" w:name="unique-value-proposition-uvp-development"/>
    <w:p>
      <w:pPr>
        <w:pStyle w:val="Heading2"/>
      </w:pPr>
      <w:r>
        <w:t xml:space="preserve">Unique Value Proposition (UVP) Development</w:t>
      </w:r>
    </w:p>
    <w:p>
      <w:pPr>
        <w:pStyle w:val="FirstParagraph"/>
      </w:pPr>
      <w:r>
        <w:t xml:space="preserve">Rather than competing on salary alone, our Financial Analyst role in Germany Berlin offers an unparalleled UVP centered on three pillars:</w:t>
      </w:r>
    </w:p>
    <w:p>
      <w:pPr>
        <w:numPr>
          <w:ilvl w:val="0"/>
          <w:numId w:val="1002"/>
        </w:numPr>
        <w:pStyle w:val="Compact"/>
      </w:pPr>
      <w:r>
        <w:rPr>
          <w:bCs/>
          <w:b/>
        </w:rPr>
        <w:t xml:space="preserve">Berlin Innovation Ecosystem Access</w:t>
      </w:r>
      <w:r>
        <w:t xml:space="preserve">: Exclusive participation in Berlin's fintech accelerator programs and networking with the Deutsche Börse Group.</w:t>
      </w:r>
    </w:p>
    <w:p>
      <w:pPr>
        <w:numPr>
          <w:ilvl w:val="0"/>
          <w:numId w:val="1002"/>
        </w:numPr>
        <w:pStyle w:val="Compact"/>
      </w:pPr>
      <w:r>
        <w:rPr>
          <w:bCs/>
          <w:b/>
        </w:rPr>
        <w:t xml:space="preserve">German Career Acceleration Pathway</w:t>
      </w:r>
      <w:r>
        <w:t xml:space="preserve">: A defined 18-month progression track to Senior Financial Analyst, including subsidized German language courses (B2/C1 level) for international hires.</w:t>
      </w:r>
    </w:p>
    <w:p>
      <w:pPr>
        <w:numPr>
          <w:ilvl w:val="0"/>
          <w:numId w:val="1002"/>
        </w:numPr>
        <w:pStyle w:val="Compact"/>
      </w:pPr>
      <w:r>
        <w:rPr>
          <w:bCs/>
          <w:b/>
        </w:rPr>
        <w:t xml:space="preserve">Sustainability-Driven Impact</w:t>
      </w:r>
      <w:r>
        <w:t xml:space="preserve">: Direct involvement in our ESG reporting framework – a key differentiator as 63% of Berlin-based financial professionals prioritize purpose-driven work (McKinsey Germany Survey 2023).</w:t>
      </w:r>
    </w:p>
    <w:bookmarkEnd w:id="23"/>
    <w:bookmarkStart w:id="26" w:name="Xbfd07131bd7ebc8a53762b125441fec6cf4db60"/>
    <w:p>
      <w:pPr>
        <w:pStyle w:val="Heading2"/>
      </w:pPr>
      <w:r>
        <w:t xml:space="preserve">Marketing Strategies &amp; Tactics for Germany Berlin Recruitment</w:t>
      </w:r>
    </w:p>
    <w:p>
      <w:pPr>
        <w:pStyle w:val="FirstParagraph"/>
      </w:pPr>
      <w:r>
        <w:t xml:space="preserve">Our integrated approach combines digital precision with Berlin-specific cultural engagement:</w:t>
      </w:r>
    </w:p>
    <w:bookmarkStart w:id="24" w:name="Xdf4d6edb5b43f566807f319bb9d4d7901821f47"/>
    <w:p>
      <w:pPr>
        <w:pStyle w:val="Heading3"/>
      </w:pPr>
      <w:r>
        <w:t xml:space="preserve">Digital Campaigns Targeting Berlin Talent</w:t>
      </w:r>
    </w:p>
    <w:p>
      <w:pPr>
        <w:numPr>
          <w:ilvl w:val="0"/>
          <w:numId w:val="1003"/>
        </w:numPr>
        <w:pStyle w:val="Compact"/>
      </w:pPr>
      <w:r>
        <w:rPr>
          <w:bCs/>
          <w:b/>
        </w:rPr>
        <w:t xml:space="preserve">LinkedIn Micro-Targeting</w:t>
      </w:r>
      <w:r>
        <w:t xml:space="preserve">: Geo-fenced campaigns in Berlin (radius 20km) targeting Finance Analyst roles at competing firms, using keywords like "Finanzanalyse Berlin" and "Financial Data Modeler Germany". We'll leverage LinkedIn's AI to identify passive candidates with Python/R skills.</w:t>
      </w:r>
    </w:p>
    <w:p>
      <w:pPr>
        <w:numPr>
          <w:ilvl w:val="0"/>
          <w:numId w:val="1003"/>
        </w:numPr>
        <w:pStyle w:val="Compact"/>
      </w:pPr>
      <w:r>
        <w:rPr>
          <w:bCs/>
          <w:b/>
        </w:rPr>
        <w:t xml:space="preserve">German-Language Content Hub</w:t>
      </w:r>
      <w:r>
        <w:t xml:space="preserve">: Development of a dedicated career microsite (deutsche-finanzanalyst.de) featuring video testimonials from current Berlin-based Financial Analysts discussing work-life balance at our office near Alexanderplatz.</w:t>
      </w:r>
    </w:p>
    <w:p>
      <w:pPr>
        <w:numPr>
          <w:ilvl w:val="0"/>
          <w:numId w:val="1003"/>
        </w:numPr>
        <w:pStyle w:val="Compact"/>
      </w:pPr>
      <w:r>
        <w:rPr>
          <w:bCs/>
          <w:b/>
        </w:rPr>
        <w:t xml:space="preserve">Tech Partner Integration</w:t>
      </w:r>
      <w:r>
        <w:t xml:space="preserve">: Co-branded webinars with Berlin-based platforms like FinTech Berlin and German Finance Network, focusing on "Data Analytics in European Regulatory Environment" – positioning our role as the entry point to this ecosystem.</w:t>
      </w:r>
    </w:p>
    <w:bookmarkEnd w:id="24"/>
    <w:bookmarkStart w:id="25" w:name="local-berlin-community-engagement"/>
    <w:p>
      <w:pPr>
        <w:pStyle w:val="Heading3"/>
      </w:pPr>
      <w:r>
        <w:t xml:space="preserve">Local Berlin Community Engagement</w:t>
      </w:r>
    </w:p>
    <w:p>
      <w:pPr>
        <w:numPr>
          <w:ilvl w:val="0"/>
          <w:numId w:val="1004"/>
        </w:numPr>
        <w:pStyle w:val="Compact"/>
      </w:pPr>
      <w:r>
        <w:rPr>
          <w:bCs/>
          <w:b/>
        </w:rPr>
        <w:t xml:space="preserve">University Partnerships</w:t>
      </w:r>
      <w:r>
        <w:t xml:space="preserve">: Exclusive career sessions at Technische Universität Berlin and HU Berlin's Finance Department, including a "Berlin Financial Analyst Challenge" case competition with winners receiving priority interview access.</w:t>
      </w:r>
    </w:p>
    <w:p>
      <w:pPr>
        <w:numPr>
          <w:ilvl w:val="0"/>
          <w:numId w:val="1004"/>
        </w:numPr>
        <w:pStyle w:val="Compact"/>
      </w:pPr>
      <w:r>
        <w:rPr>
          <w:bCs/>
          <w:b/>
        </w:rPr>
        <w:t xml:space="preserve">Industry Meetups Sponsorship</w:t>
      </w:r>
      <w:r>
        <w:t xml:space="preserve">: Full sponsorship of monthly "Finanz &amp; Zukunft" (Finance &amp; Future) networking events in Kreuzberg, featuring our CFO discussing Berlin's financial transformation.</w:t>
      </w:r>
    </w:p>
    <w:p>
      <w:pPr>
        <w:numPr>
          <w:ilvl w:val="0"/>
          <w:numId w:val="1004"/>
        </w:numPr>
        <w:pStyle w:val="Compact"/>
      </w:pPr>
      <w:r>
        <w:rPr>
          <w:bCs/>
          <w:b/>
        </w:rPr>
        <w:t xml:space="preserve">Local Media Collaborations</w:t>
      </w:r>
      <w:r>
        <w:t xml:space="preserve">: Co-authored thought leadership pieces with Berliner Zeitung on "The Evolution of Financial Analyst Roles in Germany's Digital Economy", embedding job details organically.</w:t>
      </w:r>
    </w:p>
    <w:bookmarkEnd w:id="25"/>
    <w:bookmarkEnd w:id="26"/>
    <w:bookmarkStart w:id="27" w:name="budget-allocation-60-day-timeline"/>
    <w:p>
      <w:pPr>
        <w:pStyle w:val="Heading2"/>
      </w:pPr>
      <w:r>
        <w:t xml:space="preserve">Budget Allocation (60-Day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Key Metrics</w:t>
            </w:r>
          </w:p>
        </w:tc>
      </w:tr>
      <w:tr>
        <w:tc>
          <w:tcPr/>
          <w:p>
            <w:pPr>
              <w:pStyle w:val="Compact"/>
              <w:jc w:val="left"/>
            </w:pPr>
            <w:r>
              <w:t xml:space="preserve">Digital Campaigns (LinkedIn, SEO)</w:t>
            </w:r>
          </w:p>
        </w:tc>
        <w:tc>
          <w:tcPr/>
          <w:p>
            <w:pPr>
              <w:pStyle w:val="Compact"/>
              <w:jc w:val="left"/>
            </w:pPr>
            <w:r>
              <w:t xml:space="preserve">45%</w:t>
            </w:r>
          </w:p>
        </w:tc>
        <w:tc>
          <w:tcPr/>
          <w:p>
            <w:pPr>
              <w:pStyle w:val="Compact"/>
              <w:jc w:val="left"/>
            </w:pPr>
            <w:r>
              <w:t xml:space="preserve">CPC ≤ €2.80, 35% application rate from targeted profiles</w:t>
            </w:r>
          </w:p>
        </w:tc>
      </w:tr>
      <w:tr>
        <w:tc>
          <w:tcPr/>
          <w:p>
            <w:pPr>
              <w:pStyle w:val="Compact"/>
              <w:jc w:val="left"/>
            </w:pPr>
            <w:r>
              <w:t xml:space="preserve">University/Community Events</w:t>
            </w:r>
          </w:p>
        </w:tc>
        <w:tc>
          <w:tcPr/>
          <w:p>
            <w:pPr>
              <w:pStyle w:val="Compact"/>
              <w:jc w:val="left"/>
            </w:pPr>
            <w:r>
              <w:t xml:space="preserve">30%</w:t>
            </w:r>
          </w:p>
        </w:tc>
        <w:tc>
          <w:tcPr/>
          <w:p>
            <w:pPr>
              <w:pStyle w:val="Compact"/>
              <w:jc w:val="left"/>
            </w:pPr>
            <w:r>
              <w:t xml:space="preserve">12+ qualified candidates from campus events, 75% event attendance rate</w:t>
            </w:r>
          </w:p>
        </w:tc>
      </w:tr>
      <w:tr>
        <w:tc>
          <w:tcPr/>
          <w:p>
            <w:pPr>
              <w:pStyle w:val="Compact"/>
              <w:jc w:val="left"/>
            </w:pPr>
            <w:r>
              <w:t xml:space="preserve">Content Creation (Video, Microsite)</w:t>
            </w:r>
          </w:p>
        </w:tc>
        <w:tc>
          <w:tcPr/>
          <w:p>
            <w:pPr>
              <w:pStyle w:val="Compact"/>
              <w:jc w:val="left"/>
            </w:pPr>
            <w:r>
              <w:t xml:space="preserve">15%</w:t>
            </w:r>
          </w:p>
        </w:tc>
        <w:tc>
          <w:tcPr/>
          <w:p>
            <w:pPr>
              <w:pStyle w:val="Compact"/>
              <w:jc w:val="left"/>
            </w:pPr>
            <w:r>
              <w:t xml:space="preserve">≥4.2 avg. engagement on social posts, 200+ microsite visits</w:t>
            </w:r>
          </w:p>
        </w:tc>
      </w:tr>
      <w:tr>
        <w:tc>
          <w:tcPr/>
          <w:p>
            <w:pPr>
              <w:pStyle w:val="Compact"/>
              <w:jc w:val="left"/>
            </w:pPr>
            <w:r>
              <w:t xml:space="preserve">Miscellaneous (Referral Bonuses)</w:t>
            </w:r>
          </w:p>
        </w:tc>
        <w:tc>
          <w:tcPr/>
          <w:p>
            <w:pPr>
              <w:pStyle w:val="Compact"/>
              <w:jc w:val="left"/>
            </w:pPr>
            <w:r>
              <w:t xml:space="preserve">10%</w:t>
            </w:r>
          </w:p>
        </w:tc>
        <w:tc>
          <w:tcPr/>
          <w:p>
            <w:pPr>
              <w:pStyle w:val="Compact"/>
              <w:jc w:val="left"/>
            </w:pPr>
            <w:r>
              <w:t xml:space="preserve">15% of hires through employee referrals</w:t>
            </w:r>
          </w:p>
        </w:tc>
      </w:tr>
    </w:tbl>
    <w:bookmarkEnd w:id="27"/>
    <w:bookmarkStart w:id="28" w:name="success-metrics-kpis"/>
    <w:p>
      <w:pPr>
        <w:pStyle w:val="Heading2"/>
      </w:pPr>
      <w:r>
        <w:t xml:space="preserve">Success Metrics &amp; KPIs</w:t>
      </w:r>
    </w:p>
    <w:p>
      <w:pPr>
        <w:pStyle w:val="FirstParagraph"/>
      </w:pPr>
      <w:r>
        <w:t xml:space="preserve">We measure success through four Berlin-specific indicators:</w:t>
      </w:r>
    </w:p>
    <w:p>
      <w:pPr>
        <w:numPr>
          <w:ilvl w:val="0"/>
          <w:numId w:val="1005"/>
        </w:numPr>
        <w:pStyle w:val="Compact"/>
      </w:pPr>
      <w:r>
        <w:rPr>
          <w:bCs/>
          <w:b/>
        </w:rPr>
        <w:t xml:space="preserve">Talent Quality Score</w:t>
      </w:r>
      <w:r>
        <w:t xml:space="preserve">: 85% of hires must possess German business fluency (C1) and relevant ERP system experience (SAP/Oracle).</w:t>
      </w:r>
    </w:p>
    <w:p>
      <w:pPr>
        <w:numPr>
          <w:ilvl w:val="0"/>
          <w:numId w:val="1005"/>
        </w:numPr>
        <w:pStyle w:val="Compact"/>
      </w:pPr>
      <w:r>
        <w:rPr>
          <w:bCs/>
          <w:b/>
        </w:rPr>
        <w:t xml:space="preserve">Time-to-Hire</w:t>
      </w:r>
      <w:r>
        <w:t xml:space="preserve">: Achieve 60 days or less – below Berlin's industry average of 72 days for Financial Analyst roles.</w:t>
      </w:r>
    </w:p>
    <w:p>
      <w:pPr>
        <w:numPr>
          <w:ilvl w:val="0"/>
          <w:numId w:val="1005"/>
        </w:numPr>
        <w:pStyle w:val="Compact"/>
      </w:pPr>
      <w:r>
        <w:rPr>
          <w:bCs/>
          <w:b/>
        </w:rPr>
        <w:t xml:space="preserve">Cultural Fit Rate</w:t>
      </w:r>
      <w:r>
        <w:t xml:space="preserve">: ≥90% of selected candidates must demonstrate alignment with Berlin's collaborative work culture (via structured behavioral interviews).</w:t>
      </w:r>
    </w:p>
    <w:p>
      <w:pPr>
        <w:numPr>
          <w:ilvl w:val="0"/>
          <w:numId w:val="1005"/>
        </w:numPr>
        <w:pStyle w:val="Compact"/>
      </w:pPr>
      <w:r>
        <w:rPr>
          <w:bCs/>
          <w:b/>
        </w:rPr>
        <w:t xml:space="preserve">Long-Term Retention</w:t>
      </w:r>
      <w:r>
        <w:t xml:space="preserve">: Target 85% retention after 12 months – critical given Berlin's high turnover in finance roles (32% industry average).</w:t>
      </w:r>
    </w:p>
    <w:bookmarkEnd w:id="28"/>
    <w:bookmarkStart w:id="29" w:name="Xec8ed41bd964ad4eaf152267aec68138250e004"/>
    <w:p>
      <w:pPr>
        <w:pStyle w:val="Heading2"/>
      </w:pPr>
      <w:r>
        <w:t xml:space="preserve">Why This Marketing Plan Works for Germany Berlin</w:t>
      </w:r>
    </w:p>
    <w:p>
      <w:pPr>
        <w:pStyle w:val="FirstParagraph"/>
      </w:pPr>
      <w:r>
        <w:t xml:space="preserve">This strategy transcends generic recruitment by embedding our Financial Analyst opportunity within Berlin's unique professional identity. We address the city's specific talent challenges: the language barrier through embedded German learning pathways, the competitive landscape via ecosystem access, and career expectations through purpose-driven storytelling. Unlike competitors who focus solely on salary, our plan leverages Berlin's status as a cultural and technological crossroads – positioning this Financial Analyst role not just as a job, but as entry into Germany's most dynamic financial community.</w:t>
      </w:r>
    </w:p>
    <w:p>
      <w:pPr>
        <w:pStyle w:val="BodyText"/>
      </w:pPr>
      <w:r>
        <w:t xml:space="preserve">By prioritizing German-language content, Berlin-centric networking opportunities, and ESG alignment with local regulatory trends (e.g., Germany's Sustainable Finance Disclosure Regulation), this Marketing Plan ensures we don't just fill a vacancy – we become the employer of choice for Financial Analysts seeking meaningful impact within Germany Berlin. As the city continues to solidify its position as Europe's fintech capital, this targeted approach will establish our firm as an innovation leader in talent acquisition while meeting immediate business needs.</w:t>
      </w:r>
    </w:p>
    <w:bookmarkEnd w:id="29"/>
    <w:bookmarkStart w:id="30" w:name="conclusion"/>
    <w:p>
      <w:pPr>
        <w:pStyle w:val="Heading2"/>
      </w:pPr>
      <w:r>
        <w:t xml:space="preserve">Conclusion</w:t>
      </w:r>
    </w:p>
    <w:p>
      <w:pPr>
        <w:pStyle w:val="FirstParagraph"/>
      </w:pPr>
      <w:r>
        <w:t xml:space="preserve">The Marketing Plan for our Financial Analyst position in Germany Berlin represents a calculated investment in the future of financial services within one of Europe's most competitive markets. Through hyper-localized digital engagement, cultural intelligence, and strategic community partnerships, we will attract candidates who view this role not merely as employment but as their gateway to shaping Berlin's financial future. This plan delivers measurable outcomes that directly address Berlin's talent gap while reinforcing our brand as a forward-thinking employer in Germany's evolving finance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Germany Berlin</dc:title>
  <dc:creator/>
  <dc:language>en</dc:language>
  <cp:keywords/>
  <dcterms:created xsi:type="dcterms:W3CDTF">2026-05-31T20:33:51Z</dcterms:created>
  <dcterms:modified xsi:type="dcterms:W3CDTF">2026-05-31T20:33:51Z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