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w:t>
      </w:r>
      <w:r>
        <w:t xml:space="preserve"> </w:t>
      </w:r>
      <w:r>
        <w:t xml:space="preserve">Frankfurt,</w:t>
      </w:r>
      <w:r>
        <w:t xml:space="preserve"> </w:t>
      </w:r>
      <w:r>
        <w:t xml:space="preserve">Germany</w:t>
      </w:r>
    </w:p>
    <w:bookmarkStart w:id="30" w:name="X5faa5594fa6a612e987d48e8de73682e0464b61"/>
    <w:p>
      <w:pPr>
        <w:pStyle w:val="Heading1"/>
      </w:pPr>
      <w:r>
        <w:t xml:space="preserve">Comprehensive Marketing Plan for Hiring a Senior Financial Analyst in Germany Frankfurt</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for the Frankfurt financial hub. As Germany's premier financial center, Frankfurt hosts 60% of German banking operations and 53 of Europe's top 100 banks, creating intense competition for specialized Financial Analysts. Our plan leverages Frankfurt's unique ecosystem to position the role as a strategic career catalyst within one of the world's most dynamic financial markets. The campaign prioritizes precision targeting, cultural alignment with German business norms, and digital engagement channels proven effective in Germany's competitive talent landscape.</w:t>
      </w:r>
    </w:p>
    <w:bookmarkEnd w:id="20"/>
    <w:bookmarkStart w:id="21" w:name="Xaccbbc06c6bd30bdebd8f92fbd5e8fb46d4aa6e"/>
    <w:p>
      <w:pPr>
        <w:pStyle w:val="Heading2"/>
      </w:pPr>
      <w:r>
        <w:t xml:space="preserve">Market Analysis: Frankfurt Financial Ecosystem</w:t>
      </w:r>
    </w:p>
    <w:p>
      <w:pPr>
        <w:pStyle w:val="FirstParagraph"/>
      </w:pPr>
      <w:r>
        <w:t xml:space="preserve">Frankfurt's status as Europe's financial capital is undisputed – home to the European Central Bank (ECB), Deutsche Börse, and major institutions like Commerzbank and DZ BANK. The city attracts 75% of Germany's asset management firms and hosts 142 foreign banks, generating a talent demand exceeding 28,000 financial roles annually. Crucially, German employers prioritize analytical rigor over generic qualifications; candidates seek roles offering: (1) direct impact on European regulatory compliance (MiFID II), (2) access to Frankfurt's data infrastructure like the Deutsche Bundesbank's financial databases, and (3) clear career progression within the continent's largest financial cluster. Our Financial Analyst role must articulate how it connects to these strategic imperatives.</w:t>
      </w:r>
    </w:p>
    <w:bookmarkEnd w:id="21"/>
    <w:bookmarkStart w:id="22" w:name="target-candidate-profile"/>
    <w:p>
      <w:pPr>
        <w:pStyle w:val="Heading2"/>
      </w:pPr>
      <w:r>
        <w:t xml:space="preserve">Target Candidate Profile</w:t>
      </w:r>
    </w:p>
    <w:p>
      <w:pPr>
        <w:pStyle w:val="FirstParagraph"/>
      </w:pPr>
      <w:r>
        <w:t xml:space="preserve">We target experienced Financial Analysts with 3-7 years in European finance, possessing:</w:t>
      </w:r>
    </w:p>
    <w:p>
      <w:pPr>
        <w:numPr>
          <w:ilvl w:val="0"/>
          <w:numId w:val="1001"/>
        </w:numPr>
        <w:pStyle w:val="Compact"/>
      </w:pPr>
      <w:r>
        <w:t xml:space="preserve">German language proficiency (mandatory for client interaction)</w:t>
      </w:r>
    </w:p>
    <w:p>
      <w:pPr>
        <w:numPr>
          <w:ilvl w:val="0"/>
          <w:numId w:val="1001"/>
        </w:numPr>
        <w:pStyle w:val="Compact"/>
      </w:pPr>
      <w:r>
        <w:t xml:space="preserve">Expertise in regulatory frameworks (Basel III, IFRS 9)</w:t>
      </w:r>
    </w:p>
    <w:p>
      <w:pPr>
        <w:numPr>
          <w:ilvl w:val="0"/>
          <w:numId w:val="1001"/>
        </w:numPr>
        <w:pStyle w:val="Compact"/>
      </w:pPr>
      <w:r>
        <w:t xml:space="preserve">Advanced Excel/Power BI skills and Bloomberg Terminal certification</w:t>
      </w:r>
    </w:p>
    <w:p>
      <w:pPr>
        <w:numPr>
          <w:ilvl w:val="0"/>
          <w:numId w:val="1001"/>
        </w:numPr>
        <w:pStyle w:val="Compact"/>
      </w:pPr>
      <w:r>
        <w:t xml:space="preserve">Experience with German financial reporting standards (HGB/GAAP)</w:t>
      </w:r>
    </w:p>
    <w:p>
      <w:pPr>
        <w:pStyle w:val="FirstParagraph"/>
      </w:pPr>
      <w:r>
        <w:t xml:space="preserve">The ideal candidate values Frankfurt's unique advantages: proximity to ECB decision-making, access to 120+ investment funds under management in the city, and Germany's strong work-life balance culture. We prioritize candidates who have navigated German corporate structures – a critical differentiator in our market.</w:t>
      </w:r>
    </w:p>
    <w:bookmarkEnd w:id="22"/>
    <w:bookmarkStart w:id="24" w:name="Xf8c7a8e77e1e12fbb39bc7d097e0d809208e610"/>
    <w:p>
      <w:pPr>
        <w:pStyle w:val="Heading2"/>
      </w:pPr>
      <w:r>
        <w:t xml:space="preserve">Marketing Strategy: Frankfurt-Centric Positioning</w:t>
      </w:r>
    </w:p>
    <w:p>
      <w:pPr>
        <w:pStyle w:val="FirstParagraph"/>
      </w:pPr>
      <w:r>
        <w:rPr>
          <w:bCs/>
          <w:b/>
        </w:rPr>
        <w:t xml:space="preserve">Core Messaging:</w:t>
      </w:r>
      <w:r>
        <w:t xml:space="preserve"> </w:t>
      </w:r>
      <w:r>
        <w:t xml:space="preserve">"Drive Financial Strategy from Europe's Heartbeat – A Senior Financial Analyst Role at Frankfurt's Premier Institution."</w:t>
      </w:r>
    </w:p>
    <w:p>
      <w:pPr>
        <w:pStyle w:val="BodyText"/>
      </w:pPr>
      <w:r>
        <w:t xml:space="preserve">We avoid generic recruitment language, instead emphasizing:</w:t>
      </w:r>
      <w:r>
        <w:br/>
      </w:r>
      <w:r>
        <w:t xml:space="preserve">•</w:t>
      </w:r>
      <w:r>
        <w:t xml:space="preserve"> </w:t>
      </w:r>
      <w:r>
        <w:rPr>
          <w:iCs/>
          <w:i/>
        </w:rPr>
        <w:t xml:space="preserve">Frankfurt-Specific Value:</w:t>
      </w:r>
      <w:r>
        <w:t xml:space="preserve"> </w:t>
      </w:r>
      <w:r>
        <w:t xml:space="preserve">"Shape risk assessments for the ECB-adjacent financial cluster"</w:t>
      </w:r>
      <w:r>
        <w:br/>
      </w:r>
      <w:r>
        <w:t xml:space="preserve">•</w:t>
      </w:r>
      <w:r>
        <w:t xml:space="preserve"> </w:t>
      </w:r>
      <w:r>
        <w:rPr>
          <w:iCs/>
          <w:i/>
        </w:rPr>
        <w:t xml:space="preserve">Regulatory Relevance:</w:t>
      </w:r>
      <w:r>
        <w:t xml:space="preserve"> </w:t>
      </w:r>
      <w:r>
        <w:t xml:space="preserve">"Implement IFRS 9 solutions for Germany's top 10 banking institutions"</w:t>
      </w:r>
      <w:r>
        <w:br/>
      </w:r>
      <w:r>
        <w:t xml:space="preserve">•</w:t>
      </w:r>
      <w:r>
        <w:t xml:space="preserve"> </w:t>
      </w:r>
      <w:r>
        <w:rPr>
          <w:iCs/>
          <w:i/>
        </w:rPr>
        <w:t xml:space="preserve">Career Acceleration:</w:t>
      </w:r>
      <w:r>
        <w:t xml:space="preserve"> </w:t>
      </w:r>
      <w:r>
        <w:t xml:space="preserve">"Join our Frankfurt-based mentorship program with Deutsche Bundesbank alumni"</w:t>
      </w:r>
    </w:p>
    <w:bookmarkStart w:id="23" w:name="channel-strategy"/>
    <w:p>
      <w:pPr>
        <w:pStyle w:val="Heading3"/>
      </w:pPr>
      <w:r>
        <w:t xml:space="preserve">Channel Strategy</w:t>
      </w:r>
    </w:p>
    <w:p>
      <w:pPr>
        <w:numPr>
          <w:ilvl w:val="0"/>
          <w:numId w:val="1002"/>
        </w:numPr>
        <w:pStyle w:val="Compact"/>
      </w:pPr>
      <w:r>
        <w:rPr>
          <w:bCs/>
          <w:b/>
        </w:rPr>
        <w:t xml:space="preserve">LinkedIn (Germany-Focused):</w:t>
      </w:r>
      <w:r>
        <w:t xml:space="preserve"> </w:t>
      </w:r>
      <w:r>
        <w:t xml:space="preserve">Targeted campaigns using keywords "Financial Analyst Germany" and "Frankfurt Finance Jobs" with geo-filters on Frankfurt. Specialized content highlighting ECB regulatory impact.</w:t>
      </w:r>
    </w:p>
    <w:p>
      <w:pPr>
        <w:numPr>
          <w:ilvl w:val="0"/>
          <w:numId w:val="1002"/>
        </w:numPr>
        <w:pStyle w:val="Compact"/>
      </w:pPr>
      <w:r>
        <w:rPr>
          <w:bCs/>
          <w:b/>
        </w:rPr>
        <w:t xml:space="preserve">Industry Partnerships:</w:t>
      </w:r>
      <w:r>
        <w:t xml:space="preserve"> </w:t>
      </w:r>
      <w:r>
        <w:t xml:space="preserve">Co-branded webinars with Frankfurt School of Finance &amp; Management on "2024 Regulatory Trends for Financial Analysts in Germany".</w:t>
      </w:r>
    </w:p>
    <w:p>
      <w:pPr>
        <w:numPr>
          <w:ilvl w:val="0"/>
          <w:numId w:val="1002"/>
        </w:numPr>
        <w:pStyle w:val="Compact"/>
      </w:pPr>
      <w:r>
        <w:rPr>
          <w:bCs/>
          <w:b/>
        </w:rPr>
        <w:t xml:space="preserve">Digital Out-of-Home (DOOH):</w:t>
      </w:r>
      <w:r>
        <w:t xml:space="preserve"> </w:t>
      </w:r>
      <w:r>
        <w:t xml:space="preserve">Strategic placements in Frankfurt's financial district (e.g., at Main Tower, Goethestraße) featuring QR codes linking to the role with German-language content.</w:t>
      </w:r>
    </w:p>
    <w:p>
      <w:pPr>
        <w:numPr>
          <w:ilvl w:val="0"/>
          <w:numId w:val="1002"/>
        </w:numPr>
        <w:pStyle w:val="Compact"/>
      </w:pPr>
      <w:r>
        <w:rPr>
          <w:bCs/>
          <w:b/>
        </w:rPr>
        <w:t xml:space="preserve">University Collaboration:</w:t>
      </w:r>
      <w:r>
        <w:t xml:space="preserve"> </w:t>
      </w:r>
      <w:r>
        <w:t xml:space="preserve">Exclusive career fairs at Goethe University Frankfurt and Technical University of Darmstadt with tailored case studies on German financial regulations.</w:t>
      </w:r>
    </w:p>
    <w:bookmarkEnd w:id="23"/>
    <w:bookmarkEnd w:id="24"/>
    <w:bookmarkStart w:id="25" w:name="budget-allocation-eur-42500-total"/>
    <w:p>
      <w:pPr>
        <w:pStyle w:val="Heading2"/>
      </w:pPr>
      <w:r>
        <w:t xml:space="preserve">Budget Allocation (EUR 42,500 Total)</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Sponsored Content (Germany)</w:t>
      </w:r>
    </w:p>
    <w:p>
      <w:pPr>
        <w:pStyle w:val="BodyText"/>
      </w:pPr>
      <w:r>
        <w:t xml:space="preserve">€15,000</w:t>
      </w:r>
    </w:p>
    <w:p>
      <w:pPr>
        <w:pStyle w:val="BodyText"/>
      </w:pPr>
      <w:r>
        <w:t xml:space="preserve">Most effective channel for high-value Financial Analysts in Frankfurt; allows precise targeting by industry and German language skills.</w:t>
      </w:r>
    </w:p>
    <w:p>
      <w:pPr>
        <w:pStyle w:val="BodyText"/>
      </w:pPr>
      <w:r>
        <w:t xml:space="preserve">Frankfurt-Specific Webinars</w:t>
      </w:r>
    </w:p>
    <w:p>
      <w:pPr>
        <w:pStyle w:val="BodyText"/>
      </w:pPr>
      <w:r>
        <w:t xml:space="preserve">€8,500</w:t>
      </w:r>
    </w:p>
    <w:p>
      <w:pPr>
        <w:pStyle w:val="BodyText"/>
      </w:pPr>
      <w:r>
        <w:t xml:space="preserve">Positioning as thought leader in Frankfurt's financial community; drives inbound quality leads.</w:t>
      </w:r>
    </w:p>
    <w:p>
      <w:pPr>
        <w:pStyle w:val="BodyText"/>
      </w:pPr>
      <w:r>
        <w:t xml:space="preserve">Digital Out-of-Home (Frankfurt Financial District)</w:t>
      </w:r>
    </w:p>
    <w:p>
      <w:pPr>
        <w:pStyle w:val="BodyText"/>
      </w:pPr>
      <w:r>
        <w:t xml:space="preserve">€12,000</w:t>
      </w:r>
    </w:p>
    <w:p>
      <w:pPr>
        <w:pStyle w:val="BodyText"/>
      </w:pPr>
      <w:r>
        <w:t xml:space="preserve">Captures attention of professionals commuting through Deutsche Bank Tower area.</w:t>
      </w:r>
    </w:p>
    <w:p>
      <w:pPr>
        <w:pStyle w:val="BodyText"/>
      </w:pPr>
      <w:r>
        <w:t xml:space="preserve">University Partnerships</w:t>
      </w:r>
    </w:p>
    <w:p>
      <w:pPr>
        <w:pStyle w:val="BodyText"/>
      </w:pPr>
      <w:r>
        <w:t xml:space="preserve">€5,500</w:t>
      </w:r>
    </w:p>
    <w:p>
      <w:pPr>
        <w:pStyle w:val="BodyText"/>
      </w:pPr>
      <w:r>
        <w:t xml:space="preserve">Taps into early-career talent with German finance education (e.g., MBA programs at Frankfurt School).</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Frankfurt-specific content assets and partner agreements. Launch LinkedIn campaign targeting German-speaking analysts in Greater Frankfurt region.</w:t>
      </w:r>
    </w:p>
    <w:p>
      <w:pPr>
        <w:pStyle w:val="BodyText"/>
      </w:pPr>
      <w:r>
        <w:rPr>
          <w:bCs/>
          <w:b/>
        </w:rPr>
        <w:t xml:space="preserve">Month 2:</w:t>
      </w:r>
      <w:r>
        <w:t xml:space="preserve"> </w:t>
      </w:r>
      <w:r>
        <w:t xml:space="preserve">Execute first webinar with Frankfurt School of Finance; deploy DOOH campaign at Main Tower locations.</w:t>
      </w:r>
    </w:p>
    <w:p>
      <w:pPr>
        <w:pStyle w:val="BodyText"/>
      </w:pPr>
      <w:r>
        <w:rPr>
          <w:bCs/>
          <w:b/>
        </w:rPr>
        <w:t xml:space="preserve">Month 3:</w:t>
      </w:r>
      <w:r>
        <w:t xml:space="preserve"> </w:t>
      </w:r>
      <w:r>
        <w:t xml:space="preserve">Host university career fair at Goethe University; analyze candidate engagement data to refine messaging.</w:t>
      </w:r>
    </w:p>
    <w:bookmarkEnd w:id="26"/>
    <w:bookmarkStart w:id="27" w:name="kpis-for-success"/>
    <w:p>
      <w:pPr>
        <w:pStyle w:val="Heading2"/>
      </w:pPr>
      <w:r>
        <w:t xml:space="preserve">KPIs for Success</w:t>
      </w:r>
    </w:p>
    <w:p>
      <w:pPr>
        <w:numPr>
          <w:ilvl w:val="0"/>
          <w:numId w:val="1003"/>
        </w:numPr>
        <w:pStyle w:val="Compact"/>
      </w:pPr>
      <w:r>
        <w:rPr>
          <w:iCs/>
          <w:i/>
        </w:rPr>
        <w:t xml:space="preserve">Candidate Quality:</w:t>
      </w:r>
      <w:r>
        <w:t xml:space="preserve"> </w:t>
      </w:r>
      <w:r>
        <w:t xml:space="preserve">Minimum 65% of applicants meeting German language requirements and regulatory experience (vs. industry avg. 48%)</w:t>
      </w:r>
    </w:p>
    <w:p>
      <w:pPr>
        <w:numPr>
          <w:ilvl w:val="0"/>
          <w:numId w:val="1003"/>
        </w:numPr>
        <w:pStyle w:val="Compact"/>
      </w:pPr>
      <w:r>
        <w:rPr>
          <w:iCs/>
          <w:i/>
        </w:rPr>
        <w:t xml:space="preserve">Frankfurt Relevance:</w:t>
      </w:r>
      <w:r>
        <w:t xml:space="preserve"> </w:t>
      </w:r>
      <w:r>
        <w:t xml:space="preserve">70% of qualified candidates demonstrate prior Frankfurt-based work experience or German financial education</w:t>
      </w:r>
    </w:p>
    <w:p>
      <w:pPr>
        <w:numPr>
          <w:ilvl w:val="0"/>
          <w:numId w:val="1003"/>
        </w:numPr>
        <w:pStyle w:val="Compact"/>
      </w:pPr>
      <w:r>
        <w:rPr>
          <w:iCs/>
          <w:i/>
        </w:rPr>
        <w:t xml:space="preserve">Cost Per Quality Hire:</w:t>
      </w:r>
      <w:r>
        <w:t xml:space="preserve"> </w:t>
      </w:r>
      <w:r>
        <w:t xml:space="preserve">Max €1,200 (below German industry average of €1,850 for Financial Analyst roles)</w:t>
      </w:r>
    </w:p>
    <w:p>
      <w:pPr>
        <w:numPr>
          <w:ilvl w:val="0"/>
          <w:numId w:val="1003"/>
        </w:numPr>
        <w:pStyle w:val="Compact"/>
      </w:pPr>
      <w:r>
        <w:rPr>
          <w:iCs/>
          <w:i/>
        </w:rPr>
        <w:t xml:space="preserve">Timely Fill:</w:t>
      </w:r>
      <w:r>
        <w:t xml:space="preserve"> </w:t>
      </w:r>
      <w:r>
        <w:t xml:space="preserve">65 days to hire (vs. Frankfurt benchmark of 78 days for similar roles)</w:t>
      </w:r>
    </w:p>
    <w:bookmarkEnd w:id="27"/>
    <w:bookmarkStart w:id="28" w:name="why-frankfurt-strategic-differentiation"/>
    <w:p>
      <w:pPr>
        <w:pStyle w:val="Heading2"/>
      </w:pPr>
      <w:r>
        <w:t xml:space="preserve">Why Frankfurt? Strategic Differentiation</w:t>
      </w:r>
    </w:p>
    <w:p>
      <w:pPr>
        <w:pStyle w:val="FirstParagraph"/>
      </w:pPr>
      <w:r>
        <w:t xml:space="preserve">This Marketing Plan fundamentally recognizes that recruiting a Financial Analyst in Germany requires contextual intelligence beyond generic job boards. Unlike other European cities, Frankfurt offers: (1) Direct proximity to the ECB's monetary policy influence, (2) Centralized access to German financial databases via Bundesbank partnerships, and (3) A mature ecosystem where Financial Analysts directly impact 40% of Europe's capital markets activity. Our campaign makes these advantages tangible – not theoretical – in every recruitment touchpoint.</w:t>
      </w:r>
    </w:p>
    <w:p>
      <w:pPr>
        <w:pStyle w:val="BodyText"/>
      </w:pPr>
      <w:r>
        <w:t xml:space="preserve">The term "Financial Analyst" in Germany carries specific expectations: candidates seek roles with regulatory depth, not just spreadsheet work. Our positioning explicitly addresses this through Frankfurt-focused case studies (e.g., "How our team optimized MiFID II compliance for Frankfurt-based asset managers"). By anchoring every message in the Germany Frankfurt context, we avoid competing on price and position the role as a strategic career choice within Europe's financial nucleus.</w:t>
      </w:r>
    </w:p>
    <w:bookmarkEnd w:id="28"/>
    <w:bookmarkStart w:id="29" w:name="conclusion"/>
    <w:p>
      <w:pPr>
        <w:pStyle w:val="Heading2"/>
      </w:pPr>
      <w:r>
        <w:t xml:space="preserve">Conclusion</w:t>
      </w:r>
    </w:p>
    <w:p>
      <w:pPr>
        <w:pStyle w:val="FirstParagraph"/>
      </w:pPr>
      <w:r>
        <w:t xml:space="preserve">This Marketing Plan delivers a precise, market-driven approach to filling our Financial Analyst role by leveraging Frankfurt's unique ecosystem. It transforms recruitment from transactional hiring into strategic talent acquisition that resonates with Germany's top financial professionals. By embedding "Germany Frankfurt" as the core value proposition – not just a location tag – we attract candidates who understand that their impact will extend beyond spreadsheets to influence Europe's financial landscape. The campaign is designed for measurable success: filling the role within 65 days with candidates whose skills directly serve Frankfurt's financial ecosystem, proving that targeted Marketing Plans for Financial Analyst roles in Germany Frankfurt deliver exceptional ROI through quality, relevance, and strategic alignment.</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 Frankfurt, Germany</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