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Moscow</w:t>
      </w:r>
    </w:p>
    <w:bookmarkStart w:id="31" w:name="Xae94ea17f6bfcb4171ab1a2847646b7309c539f"/>
    <w:p>
      <w:pPr>
        <w:pStyle w:val="Heading1"/>
      </w:pPr>
      <w:r>
        <w:t xml:space="preserve">Comprehensive Marketing Plan: Attracting Top-Tier Financial Analysts to Moscow's Dynamic Market</w:t>
      </w:r>
    </w:p>
    <w:bookmarkStart w:id="20" w:name="executive-summary"/>
    <w:p>
      <w:pPr>
        <w:pStyle w:val="Heading2"/>
      </w:pPr>
      <w:r>
        <w:t xml:space="preserve">Executive Summary</w:t>
      </w:r>
    </w:p>
    <w:p>
      <w:pPr>
        <w:pStyle w:val="FirstParagraph"/>
      </w:pPr>
      <w:r>
        <w:t xml:space="preserve">This Marketing Plan outlines a targeted strategy to recruit elite Financial Analysts for our global finance firm operating within Russia's premier financial hub, Moscow. As Moscow solidifies its position as a resilient economic center amid global volatility, the demand for sophisticated Financial Analysts has surged. This plan addresses critical talent gaps by leveraging localized recruitment tactics, competitive compensation structures, and culturally attuned employer branding—specifically designed to attract candidates who understand both international financial standards and Russia's unique market dynamics.</w:t>
      </w:r>
    </w:p>
    <w:bookmarkEnd w:id="20"/>
    <w:bookmarkStart w:id="21" w:name="Xb95ec8ebc5a78d78f4e27056a86efab6e5c798f"/>
    <w:p>
      <w:pPr>
        <w:pStyle w:val="Heading2"/>
      </w:pPr>
      <w:r>
        <w:t xml:space="preserve">Market Analysis: Moscow's Financial Landscape</w:t>
      </w:r>
    </w:p>
    <w:p>
      <w:pPr>
        <w:pStyle w:val="FirstParagraph"/>
      </w:pPr>
      <w:r>
        <w:t xml:space="preserve">Despite geopolitical challenges, Moscow remains the undisputed nerve center of Russian finance, housing headquarters for Sberbank, VTB, Gazpromfinans, and numerous fintech innovators. The city’s market demands Financial Analysts who navigate complex regulatory frameworks (including new Central Bank guidelines), currency volatility (RUB/USD fluctuations exceeding 30% annually), and evolving sanctions impacts. A 2023 Rosstat survey revealed a 41% YoY increase in demand for financial professionals with advanced analytical skills—yet only 17% of local talent possess the required international certification (CFA, ACCA). This gap presents an urgent opportunity for strategic recruitment.</w:t>
      </w:r>
    </w:p>
    <w:bookmarkEnd w:id="21"/>
    <w:bookmarkStart w:id="22" w:name="Xa540c812eb6afa43d5782758bcad77cc4c0ca4e"/>
    <w:p>
      <w:pPr>
        <w:pStyle w:val="Heading2"/>
      </w:pPr>
      <w:r>
        <w:t xml:space="preserve">Target Audience: The Ideal Financial Analyst Profile</w:t>
      </w:r>
    </w:p>
    <w:p>
      <w:pPr>
        <w:pStyle w:val="FirstParagraph"/>
      </w:pPr>
      <w:r>
        <w:t xml:space="preserve">Our ideal candidate is a bilingual professional (Russian fluency + advanced English) with 3–5 years’ experience, possessing:</w:t>
      </w:r>
    </w:p>
    <w:p>
      <w:pPr>
        <w:numPr>
          <w:ilvl w:val="0"/>
          <w:numId w:val="1001"/>
        </w:numPr>
        <w:pStyle w:val="Compact"/>
      </w:pPr>
      <w:r>
        <w:t xml:space="preserve">Certifications such as CFA Level II or ACCA</w:t>
      </w:r>
    </w:p>
    <w:p>
      <w:pPr>
        <w:numPr>
          <w:ilvl w:val="0"/>
          <w:numId w:val="1001"/>
        </w:numPr>
        <w:pStyle w:val="Compact"/>
      </w:pPr>
      <w:r>
        <w:t xml:space="preserve">Proven expertise in Russian market analysis (including OTC derivatives and FX markets)</w:t>
      </w:r>
    </w:p>
    <w:p>
      <w:pPr>
        <w:numPr>
          <w:ilvl w:val="0"/>
          <w:numId w:val="1001"/>
        </w:numPr>
        <w:pStyle w:val="Compact"/>
      </w:pPr>
      <w:r>
        <w:t xml:space="preserve">Experience with local platforms like SPB Exchange and Moscow Exchange systems</w:t>
      </w:r>
    </w:p>
    <w:p>
      <w:pPr>
        <w:numPr>
          <w:ilvl w:val="0"/>
          <w:numId w:val="1001"/>
        </w:numPr>
        <w:pStyle w:val="Compact"/>
      </w:pPr>
      <w:r>
        <w:t xml:space="preserve">Cultural acumen to navigate Moscow's business etiquette (e.g., relationship-driven decision-making)</w:t>
      </w:r>
    </w:p>
    <w:bookmarkEnd w:id="22"/>
    <w:bookmarkStart w:id="26" w:name="core-marketing-strategies"/>
    <w:p>
      <w:pPr>
        <w:pStyle w:val="Heading2"/>
      </w:pPr>
      <w:r>
        <w:t xml:space="preserve">Core Marketing Strategies</w:t>
      </w:r>
    </w:p>
    <w:bookmarkStart w:id="23" w:name="hyper-localized-employer-branding"/>
    <w:p>
      <w:pPr>
        <w:pStyle w:val="Heading3"/>
      </w:pPr>
      <w:r>
        <w:t xml:space="preserve">1. Hyper-Localized Employer Branding</w:t>
      </w:r>
    </w:p>
    <w:p>
      <w:pPr>
        <w:pStyle w:val="FirstParagraph"/>
      </w:pPr>
      <w:r>
        <w:t xml:space="preserve">We’ll position our firm as "Moscow’s Bridge to Global Finance" through targeted messaging in Russian and English. Campaigns will highlight:</w:t>
      </w:r>
    </w:p>
    <w:p>
      <w:pPr>
        <w:numPr>
          <w:ilvl w:val="0"/>
          <w:numId w:val="1002"/>
        </w:numPr>
        <w:pStyle w:val="Compact"/>
      </w:pPr>
      <w:r>
        <w:t xml:space="preserve">Opportunities to influence Russia’s post-sanctions economic strategy</w:t>
      </w:r>
    </w:p>
    <w:p>
      <w:pPr>
        <w:numPr>
          <w:ilvl w:val="0"/>
          <w:numId w:val="1002"/>
        </w:numPr>
        <w:pStyle w:val="Compact"/>
      </w:pPr>
      <w:r>
        <w:t xml:space="preserve">Access to exclusive Moscow financial networks (e.g., events at the Moscow International Financial Centre)</w:t>
      </w:r>
    </w:p>
    <w:p>
      <w:pPr>
        <w:numPr>
          <w:ilvl w:val="0"/>
          <w:numId w:val="1002"/>
        </w:numPr>
        <w:pStyle w:val="Compact"/>
      </w:pPr>
      <w:r>
        <w:t xml:space="preserve">Investment in Russian talent development (e.g., subsidized CFA exam fees)</w:t>
      </w:r>
    </w:p>
    <w:bookmarkEnd w:id="23"/>
    <w:bookmarkStart w:id="24" w:name="strategic-talent-acquisition-channels"/>
    <w:p>
      <w:pPr>
        <w:pStyle w:val="Heading3"/>
      </w:pPr>
      <w:r>
        <w:t xml:space="preserve">2. Strategic Talent Acquisition Channels</w:t>
      </w:r>
    </w:p>
    <w:p>
      <w:pPr>
        <w:pStyle w:val="FirstParagraph"/>
      </w:pPr>
      <w:r>
        <w:t xml:space="preserve">We prioritize platforms dominant in Russia’s job market over global alternatives:</w:t>
      </w:r>
    </w:p>
    <w:p>
      <w:pPr>
        <w:numPr>
          <w:ilvl w:val="0"/>
          <w:numId w:val="1003"/>
        </w:numPr>
        <w:pStyle w:val="Compact"/>
      </w:pPr>
      <w:r>
        <w:rPr>
          <w:bCs/>
          <w:b/>
        </w:rPr>
        <w:t xml:space="preserve">HeadHunter.ru:</w:t>
      </w:r>
      <w:r>
        <w:t xml:space="preserve"> </w:t>
      </w:r>
      <w:r>
        <w:t xml:space="preserve">Our primary channel, with 85% of Moscow finance professionals active here. Campaigns will use keywords: "Financial Analyst Moscow," "CFA Russia," "RUB-focused Analyst."</w:t>
      </w:r>
    </w:p>
    <w:p>
      <w:pPr>
        <w:numPr>
          <w:ilvl w:val="0"/>
          <w:numId w:val="1003"/>
        </w:numPr>
        <w:pStyle w:val="Compact"/>
      </w:pPr>
      <w:r>
        <w:rPr>
          <w:bCs/>
          <w:b/>
        </w:rPr>
        <w:t xml:space="preserve">Russian University Partnerships:</w:t>
      </w:r>
      <w:r>
        <w:t xml:space="preserve"> </w:t>
      </w:r>
      <w:r>
        <w:t xml:space="preserve">Direct collaborations with MIPT (Moscow Institute of Physics and Technology), HSE University, and RANEPA for campus recruitment targeting finance graduates.</w:t>
      </w:r>
    </w:p>
    <w:p>
      <w:pPr>
        <w:numPr>
          <w:ilvl w:val="0"/>
          <w:numId w:val="1003"/>
        </w:numPr>
        <w:pStyle w:val="Compact"/>
      </w:pPr>
      <w:r>
        <w:rPr>
          <w:bCs/>
          <w:b/>
        </w:rPr>
        <w:t xml:space="preserve">LinkedIn Localized Campaigns:</w:t>
      </w:r>
      <w:r>
        <w:t xml:space="preserve"> </w:t>
      </w:r>
      <w:r>
        <w:t xml:space="preserve">Targeted ads in Russian-language groups like "Finance Professionals Moscow" with case studies showcasing successful analysts’ projects within Russia.</w:t>
      </w:r>
    </w:p>
    <w:p>
      <w:pPr>
        <w:numPr>
          <w:ilvl w:val="0"/>
          <w:numId w:val="1003"/>
        </w:numPr>
        <w:pStyle w:val="Compact"/>
      </w:pPr>
      <w:r>
        <w:rPr>
          <w:bCs/>
          <w:b/>
        </w:rPr>
        <w:t xml:space="preserve">Industry Conferences:</w:t>
      </w:r>
      <w:r>
        <w:t xml:space="preserve"> </w:t>
      </w:r>
      <w:r>
        <w:t xml:space="preserve">Sponsor key events (e.g., Moscow Finance Week, FinTech Summit) to engage candidates face-to-face.</w:t>
      </w:r>
    </w:p>
    <w:bookmarkEnd w:id="24"/>
    <w:bookmarkStart w:id="25" w:name="Xeb6e7776d1aef9ad3cacb2847e1c7bc34e7b69c"/>
    <w:p>
      <w:pPr>
        <w:pStyle w:val="Heading3"/>
      </w:pPr>
      <w:r>
        <w:t xml:space="preserve">3. Competitive Compensation &amp; Retention Framework</w:t>
      </w:r>
    </w:p>
    <w:p>
      <w:pPr>
        <w:pStyle w:val="FirstParagraph"/>
      </w:pPr>
      <w:r>
        <w:t xml:space="preserve">To counter talent poaching by local giants, we offer a market-leading package:</w:t>
      </w:r>
    </w:p>
    <w:p>
      <w:pPr>
        <w:numPr>
          <w:ilvl w:val="0"/>
          <w:numId w:val="1004"/>
        </w:numPr>
        <w:pStyle w:val="Compact"/>
      </w:pPr>
      <w:r>
        <w:rPr>
          <w:bCs/>
          <w:b/>
        </w:rPr>
        <w:t xml:space="preserve">Base Salary:</w:t>
      </w:r>
      <w:r>
        <w:t xml:space="preserve"> </w:t>
      </w:r>
      <w:r>
        <w:t xml:space="preserve">25% above Moscow market average (approx. ₽15–20M/year for mid-level roles)</w:t>
      </w:r>
    </w:p>
    <w:p>
      <w:pPr>
        <w:numPr>
          <w:ilvl w:val="0"/>
          <w:numId w:val="1004"/>
        </w:numPr>
        <w:pStyle w:val="Compact"/>
      </w:pPr>
      <w:r>
        <w:rPr>
          <w:bCs/>
          <w:b/>
        </w:rPr>
        <w:t xml:space="preserve">Performance Bonuses:</w:t>
      </w:r>
      <w:r>
        <w:t xml:space="preserve"> </w:t>
      </w:r>
      <w:r>
        <w:t xml:space="preserve">Up to 40% of base salary tied to Russia-specific KPIs (e.g., local market share growth, sanctions-compliance innovation)</w:t>
      </w:r>
    </w:p>
    <w:p>
      <w:pPr>
        <w:numPr>
          <w:ilvl w:val="0"/>
          <w:numId w:val="1004"/>
        </w:numPr>
        <w:pStyle w:val="Compact"/>
      </w:pPr>
      <w:r>
        <w:rPr>
          <w:bCs/>
          <w:b/>
        </w:rPr>
        <w:t xml:space="preserve">Non-Financial Perks:</w:t>
      </w:r>
      <w:r>
        <w:t xml:space="preserve"> </w:t>
      </w:r>
      <w:r>
        <w:t xml:space="preserve">Premium housing allowances in Moscow districts like Zamoskvorechye; access to our Moscow-based executive wellness program.</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(ru.moscowfinancejobs.com); university partnership signings; HeadHunter campaign rollout.</w:t>
            </w:r>
          </w:p>
        </w:tc>
      </w:tr>
      <w:tr>
        <w:tc>
          <w:tcPr/>
          <w:p>
            <w:pPr>
              <w:pStyle w:val="Compact"/>
              <w:jc w:val="left"/>
            </w:pPr>
            <w:r>
              <w:t xml:space="preserve">Q2 2024</w:t>
            </w:r>
          </w:p>
        </w:tc>
        <w:tc>
          <w:tcPr/>
          <w:p>
            <w:pPr>
              <w:pStyle w:val="Compact"/>
              <w:jc w:val="left"/>
            </w:pPr>
            <w:r>
              <w:t xml:space="preserve">Sponsorship of Moscow Finance Week; CFA exam subsidy program launch; LinkedIn targeting activation.</w:t>
            </w:r>
          </w:p>
        </w:tc>
      </w:tr>
      <w:tr>
        <w:tc>
          <w:tcPr/>
          <w:p>
            <w:pPr>
              <w:pStyle w:val="Compact"/>
              <w:jc w:val="left"/>
            </w:pPr>
            <w:r>
              <w:t xml:space="preserve">Q3 2024</w:t>
            </w:r>
          </w:p>
        </w:tc>
        <w:tc>
          <w:tcPr/>
          <w:p>
            <w:pPr>
              <w:pStyle w:val="Compact"/>
              <w:jc w:val="left"/>
            </w:pPr>
            <w:r>
              <w:t xml:space="preserve">University recruitment drives at HSE/MIPT; retention survey deployment for current Moscow analysts.</w:t>
            </w:r>
          </w:p>
        </w:tc>
      </w:tr>
    </w:tbl>
    <w:bookmarkEnd w:id="27"/>
    <w:bookmarkStart w:id="28" w:name="Xf1cf01c2bda18db6ae544c6f867f27367e47520"/>
    <w:p>
      <w:pPr>
        <w:pStyle w:val="Heading2"/>
      </w:pPr>
      <w:r>
        <w:t xml:space="preserve">Measuring Success: KPIs Aligned with Russia Moscow Context</w:t>
      </w:r>
    </w:p>
    <w:p>
      <w:pPr>
        <w:pStyle w:val="FirstParagraph"/>
      </w:pPr>
      <w:r>
        <w:t xml:space="preserve">We will track metrics specific to the Russian market:</w:t>
      </w:r>
    </w:p>
    <w:p>
      <w:pPr>
        <w:numPr>
          <w:ilvl w:val="0"/>
          <w:numId w:val="1005"/>
        </w:numPr>
        <w:pStyle w:val="Compact"/>
      </w:pPr>
      <w:r>
        <w:rPr>
          <w:bCs/>
          <w:b/>
        </w:rPr>
        <w:t xml:space="preserve">Talent Pipeline Quality:</w:t>
      </w:r>
      <w:r>
        <w:t xml:space="preserve"> </w:t>
      </w:r>
      <w:r>
        <w:t xml:space="preserve">% of applicants with CFA/ACCA (Target: 65% +)</w:t>
      </w:r>
    </w:p>
    <w:p>
      <w:pPr>
        <w:numPr>
          <w:ilvl w:val="0"/>
          <w:numId w:val="1005"/>
        </w:numPr>
        <w:pStyle w:val="Compact"/>
      </w:pPr>
      <w:r>
        <w:rPr>
          <w:bCs/>
          <w:b/>
        </w:rPr>
        <w:t xml:space="preserve">Time-to-Hire in Moscow:</w:t>
      </w:r>
      <w:r>
        <w:t xml:space="preserve"> </w:t>
      </w:r>
      <w:r>
        <w:t xml:space="preserve">Reduce from 72 days (industry avg.) to &lt;45 days</w:t>
      </w:r>
    </w:p>
    <w:p>
      <w:pPr>
        <w:numPr>
          <w:ilvl w:val="0"/>
          <w:numId w:val="1005"/>
        </w:numPr>
        <w:pStyle w:val="Compact"/>
      </w:pPr>
      <w:r>
        <w:rPr>
          <w:bCs/>
          <w:b/>
        </w:rPr>
        <w:t xml:space="preserve">Retention Rate:</w:t>
      </w:r>
      <w:r>
        <w:t xml:space="preserve"> </w:t>
      </w:r>
      <w:r>
        <w:t xml:space="preserve">Achieve 85%+ Year-1 retention in Moscow (vs. 68% industry average)</w:t>
      </w:r>
    </w:p>
    <w:p>
      <w:pPr>
        <w:numPr>
          <w:ilvl w:val="0"/>
          <w:numId w:val="1005"/>
        </w:numPr>
        <w:pStyle w:val="Compact"/>
      </w:pPr>
      <w:r>
        <w:rPr>
          <w:bCs/>
          <w:b/>
        </w:rPr>
        <w:t xml:space="preserve">Brand Perception:</w:t>
      </w:r>
      <w:r>
        <w:t xml:space="preserve"> </w:t>
      </w:r>
      <w:r>
        <w:t xml:space="preserve">Increase positive mentions in Russian finance forums by 50% YoY</w:t>
      </w:r>
    </w:p>
    <w:bookmarkEnd w:id="28"/>
    <w:bookmarkStart w:id="29" w:name="tailoring-for-russias-unique-dynamics"/>
    <w:p>
      <w:pPr>
        <w:pStyle w:val="Heading2"/>
      </w:pPr>
      <w:r>
        <w:t xml:space="preserve">Tailoring for Russia's Unique Dynamics</w:t>
      </w:r>
    </w:p>
    <w:p>
      <w:pPr>
        <w:pStyle w:val="FirstParagraph"/>
      </w:pPr>
      <w:r>
        <w:t xml:space="preserve">This Marketing Plan acknowledges Moscow’s operational realities:</w:t>
      </w:r>
    </w:p>
    <w:p>
      <w:pPr>
        <w:numPr>
          <w:ilvl w:val="0"/>
          <w:numId w:val="1006"/>
        </w:numPr>
        <w:pStyle w:val="Compact"/>
      </w:pPr>
      <w:r>
        <w:rPr>
          <w:bCs/>
          <w:b/>
        </w:rPr>
        <w:t xml:space="preserve">Language Integration:</w:t>
      </w:r>
      <w:r>
        <w:t xml:space="preserve"> </w:t>
      </w:r>
      <w:r>
        <w:t xml:space="preserve">All materials in Russian first; English versions for expat candidates.</w:t>
      </w:r>
    </w:p>
    <w:p>
      <w:pPr>
        <w:numPr>
          <w:ilvl w:val="0"/>
          <w:numId w:val="1006"/>
        </w:numPr>
        <w:pStyle w:val="Compact"/>
      </w:pPr>
      <w:r>
        <w:rPr>
          <w:bCs/>
          <w:b/>
        </w:rPr>
        <w:t xml:space="preserve">Compliance Focus:</w:t>
      </w:r>
      <w:r>
        <w:t xml:space="preserve"> </w:t>
      </w:r>
      <w:r>
        <w:t xml:space="preserve">Messaging emphasizes adherence to Russian Central Bank Circulars and data localization laws (e.g., "Your analysis will comply with Federal Law 242-FZ").</w:t>
      </w:r>
    </w:p>
    <w:p>
      <w:pPr>
        <w:numPr>
          <w:ilvl w:val="0"/>
          <w:numId w:val="1006"/>
        </w:numPr>
        <w:pStyle w:val="Compact"/>
      </w:pPr>
      <w:r>
        <w:rPr>
          <w:bCs/>
          <w:b/>
        </w:rPr>
        <w:t xml:space="preserve">Cultural Alignment:</w:t>
      </w:r>
      <w:r>
        <w:t xml:space="preserve"> </w:t>
      </w:r>
      <w:r>
        <w:t xml:space="preserve">Highlighting team-building in Moscow’s cultural hotspots (e.g., Savoy Hotel networking events, Bolshoi Ballet after-work gatherings).</w:t>
      </w:r>
    </w:p>
    <w:bookmarkEnd w:id="29"/>
    <w:bookmarkStart w:id="30" w:name="X7b94084537c5bc7fb03f5121dbec56a92dc2237"/>
    <w:p>
      <w:pPr>
        <w:pStyle w:val="Heading2"/>
      </w:pPr>
      <w:r>
        <w:t xml:space="preserve">Conclusion: Securing Moscow's Financial Future</w:t>
      </w:r>
    </w:p>
    <w:p>
      <w:pPr>
        <w:pStyle w:val="FirstParagraph"/>
      </w:pPr>
      <w:r>
        <w:t xml:space="preserve">This Marketing Plan transforms the pursuit of Financial Analyst talent into a strategic advantage within Russia Moscow’s evolving economy. By embedding our recruitment strategy deeply within local market realities—addressing linguistic needs, regulatory landscapes, and cultural expectations—we position our firm as the employer of choice for analysts committed to shaping Russia’s financial resilience. The initiative will not only fill critical roles but also establish our brand as an innovator in talent acquisition for one of the world’s most dynamic financial centers. As Moscow navigates unprecedented opportunities, this plan ensures we secure the Financial Analysts who will drive our success and contribute to Russia’s economic narrative.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Recruitment in Moscow</dc:title>
  <dc:creator/>
  <cp:keywords/>
  <dcterms:created xsi:type="dcterms:W3CDTF">2026-07-23T13:24:34Z</dcterms:created>
  <dcterms:modified xsi:type="dcterms:W3CDTF">2026-07-23T13:24:34Z</dcterms:modified>
</cp:coreProperties>
</file>

<file path=docProps/custom.xml><?xml version="1.0" encoding="utf-8"?>
<Properties xmlns="http://schemas.openxmlformats.org/officeDocument/2006/custom-properties" xmlns:vt="http://schemas.openxmlformats.org/officeDocument/2006/docPropsVTypes"/>
</file>