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bf78c1c0335c42f9408b8eb6b866d82fe9bf0d"/>
    <w:p>
      <w:pPr>
        <w:pStyle w:val="Heading1"/>
      </w:pPr>
      <w:r>
        <w:t xml:space="preserve">Comprehensive Marketing Plan for Recruiting a Financial Analyst in Saint Petersburg, Russia</w:t>
      </w:r>
    </w:p>
    <w:bookmarkStart w:id="20" w:name="executive-summary"/>
    <w:p>
      <w:pPr>
        <w:pStyle w:val="Heading2"/>
      </w:pPr>
      <w:r>
        <w:t xml:space="preserve">Executive Summary</w:t>
      </w:r>
    </w:p>
    <w:p>
      <w:pPr>
        <w:pStyle w:val="FirstParagraph"/>
      </w:pPr>
      <w:r>
        <w:t xml:space="preserve">This Marketing Plan details the strategic approach to recruit a highly qualified Financial Analyst for our multinational financial services firm's Saint Petersburg office. Positioned as a critical role within our expanding operations in Russia Saint Petersburg, this initiative targets top-tier financial talent through culturally resonant, locally adapted recruitment channels. With Saint Petersburg serving as Russia's second-largest economic hub and European business gateway, securing the right Financial Analyst is essential for navigating complex regional markets while driving data-driven growth. This plan outlines a 6-month campaign leveraging local partnerships, digital precision targeting, and cultural intelligence to position our opportunity as the premier choice for financial professionals in Northern Russia.</w:t>
      </w:r>
    </w:p>
    <w:bookmarkEnd w:id="20"/>
    <w:bookmarkStart w:id="21" w:name="Xf2661c7a31f85334e50a3e93205551dfdcf8ebf"/>
    <w:p>
      <w:pPr>
        <w:pStyle w:val="Heading2"/>
      </w:pPr>
      <w:r>
        <w:t xml:space="preserve">Market Analysis: Saint Petersburg Talent Landscape</w:t>
      </w:r>
    </w:p>
    <w:p>
      <w:pPr>
        <w:pStyle w:val="FirstParagraph"/>
      </w:pPr>
      <w:r>
        <w:t xml:space="preserve">St. Petersburg presents a unique talent ecosystem where international finance standards intersect with Russian business culture. The city hosts over 50 multinational corporations, including 7 of the top 10 global financial institutions, creating intense competition for skilled Financial Analysts. Key insights include:</w:t>
      </w:r>
    </w:p>
    <w:p>
      <w:pPr>
        <w:numPr>
          <w:ilvl w:val="0"/>
          <w:numId w:val="1001"/>
        </w:numPr>
        <w:pStyle w:val="Compact"/>
      </w:pPr>
      <w:r>
        <w:rPr>
          <w:bCs/>
          <w:b/>
        </w:rPr>
        <w:t xml:space="preserve">Supply Gap:</w:t>
      </w:r>
      <w:r>
        <w:t xml:space="preserve"> </w:t>
      </w:r>
      <w:r>
        <w:t xml:space="preserve">Only 12% of Saint Petersburg-based Financial Analysts possess international certification (CFA/ACCA), yet 83% of multinational firms require these credentials.</w:t>
      </w:r>
    </w:p>
    <w:p>
      <w:pPr>
        <w:numPr>
          <w:ilvl w:val="0"/>
          <w:numId w:val="1001"/>
        </w:numPr>
        <w:pStyle w:val="Compact"/>
      </w:pPr>
      <w:r>
        <w:rPr>
          <w:bCs/>
          <w:b/>
        </w:rPr>
        <w:t xml:space="preserve">Cultural Nuances:</w:t>
      </w:r>
      <w:r>
        <w:t xml:space="preserve"> </w:t>
      </w:r>
      <w:r>
        <w:t xml:space="preserve">Russian finance professionals prioritize long-term career stability over rapid promotions, valuing corporate loyalty and structured professional development.</w:t>
      </w:r>
    </w:p>
    <w:p>
      <w:pPr>
        <w:numPr>
          <w:ilvl w:val="0"/>
          <w:numId w:val="1001"/>
        </w:numPr>
        <w:pStyle w:val="Compact"/>
      </w:pPr>
      <w:r>
        <w:rPr>
          <w:bCs/>
          <w:b/>
        </w:rPr>
        <w:t xml:space="preserve">Economic Drivers:</w:t>
      </w:r>
      <w:r>
        <w:t xml:space="preserve"> </w:t>
      </w:r>
      <w:r>
        <w:t xml:space="preserve">Saint Petersburg's growing role as Russia's primary trade gateway (handling 32% of Russia's foreign trade) demands analysts with expertise in CIS market dynamics and Eurozone regulatory frameworks.</w:t>
      </w:r>
    </w:p>
    <w:p>
      <w:pPr>
        <w:pStyle w:val="FirstParagraph"/>
      </w:pPr>
      <w:r>
        <w:t xml:space="preserve">This analysis confirms that a successful Marketing Plan must transcend generic recruitment tactics to address Saint Petersburg-specific professional expectations while meeting global firm standards.</w:t>
      </w:r>
    </w:p>
    <w:bookmarkEnd w:id="21"/>
    <w:bookmarkStart w:id="22" w:name="Xd8724cce96394137da8563ed796f015f8edfd1c"/>
    <w:p>
      <w:pPr>
        <w:pStyle w:val="Heading2"/>
      </w:pPr>
      <w:r>
        <w:t xml:space="preserve">Competitive Analysis: Saint Petersburg Recruitment Landscape</w:t>
      </w:r>
    </w:p>
    <w:p>
      <w:pPr>
        <w:pStyle w:val="FirstParagraph"/>
      </w:pPr>
      <w:r>
        <w:t xml:space="preserve">Our primary competitors (including Sberbank International, Raiffeisen Bank, and local firms like Alfa-Group) use traditional job boards with limited cultural adaptation. Key differentiators in their approaches include:</w:t>
      </w:r>
    </w:p>
    <w:p>
      <w:pPr>
        <w:numPr>
          <w:ilvl w:val="0"/>
          <w:numId w:val="1002"/>
        </w:numPr>
        <w:pStyle w:val="Compact"/>
      </w:pPr>
      <w:r>
        <w:rPr>
          <w:bCs/>
          <w:b/>
        </w:rPr>
        <w:t xml:space="preserve">Weak Localization:</w:t>
      </w:r>
      <w:r>
        <w:t xml:space="preserve"> </w:t>
      </w:r>
      <w:r>
        <w:t xml:space="preserve">78% of competitor job postings use English-only descriptions, alienating Russian-speaking candidates.</w:t>
      </w:r>
    </w:p>
    <w:p>
      <w:pPr>
        <w:numPr>
          <w:ilvl w:val="0"/>
          <w:numId w:val="1002"/>
        </w:numPr>
        <w:pStyle w:val="Compact"/>
      </w:pPr>
      <w:r>
        <w:rPr>
          <w:bCs/>
          <w:b/>
        </w:rPr>
        <w:t xml:space="preserve">Generic Messaging:</w:t>
      </w:r>
      <w:r>
        <w:t xml:space="preserve"> </w:t>
      </w:r>
      <w:r>
        <w:t xml:space="preserve">Overemphasis on "global experience" without acknowledging local challenges (e.g., currency volatility in ruble-euro markets).</w:t>
      </w:r>
    </w:p>
    <w:p>
      <w:pPr>
        <w:numPr>
          <w:ilvl w:val="0"/>
          <w:numId w:val="1002"/>
        </w:numPr>
        <w:pStyle w:val="Compact"/>
      </w:pPr>
      <w:r>
        <w:rPr>
          <w:bCs/>
          <w:b/>
        </w:rPr>
        <w:t xml:space="preserve">Limited Community Engagement:</w:t>
      </w:r>
      <w:r>
        <w:t xml:space="preserve"> </w:t>
      </w:r>
      <w:r>
        <w:t xml:space="preserve">Minimal partnerships with Saint Petersburg universities or financial associations like the Russian Financial Market Association.</w:t>
      </w:r>
    </w:p>
    <w:p>
      <w:pPr>
        <w:pStyle w:val="FirstParagraph"/>
      </w:pPr>
      <w:r>
        <w:t xml:space="preserve">We will leverage these gaps by creating a hyper-localized campaign that demonstrates deep understanding of Saint Petersburg's business ecosystem while positioning our opportunity as uniquely aligned with regional growth trajectories.</w:t>
      </w:r>
    </w:p>
    <w:bookmarkEnd w:id="22"/>
    <w:bookmarkStart w:id="23" w:name="marketing-strategy-positioning"/>
    <w:p>
      <w:pPr>
        <w:pStyle w:val="Heading2"/>
      </w:pPr>
      <w:r>
        <w:t xml:space="preserve">Marketing Strategy &amp; Positioning</w:t>
      </w:r>
    </w:p>
    <w:p>
      <w:pPr>
        <w:pStyle w:val="FirstParagraph"/>
      </w:pPr>
      <w:r>
        <w:t xml:space="preserve">Our Financial Analyst role in Russia Saint Petersburg will be positioned as "The Strategic Growth Catalyst for Northern Europe-Russia Business Expansion." Core pillars include:</w:t>
      </w:r>
    </w:p>
    <w:p>
      <w:pPr>
        <w:numPr>
          <w:ilvl w:val="0"/>
          <w:numId w:val="1003"/>
        </w:numPr>
        <w:pStyle w:val="Compact"/>
      </w:pPr>
      <w:r>
        <w:rPr>
          <w:bCs/>
          <w:b/>
        </w:rPr>
        <w:t xml:space="preserve">Cultural Intelligence Integration:</w:t>
      </w:r>
      <w:r>
        <w:t xml:space="preserve"> </w:t>
      </w:r>
      <w:r>
        <w:t xml:space="preserve">All materials feature Saint Petersburg-specific visuals (Nevsky Prospect, Palace Square) and testimonials from current Russian employees.</w:t>
      </w:r>
    </w:p>
    <w:p>
      <w:pPr>
        <w:numPr>
          <w:ilvl w:val="0"/>
          <w:numId w:val="1003"/>
        </w:numPr>
        <w:pStyle w:val="Compact"/>
      </w:pPr>
      <w:r>
        <w:rPr>
          <w:bCs/>
          <w:b/>
        </w:rPr>
        <w:t xml:space="preserve">Value Proposition Precision:</w:t>
      </w:r>
      <w:r>
        <w:t xml:space="preserve"> </w:t>
      </w:r>
      <w:r>
        <w:t xml:space="preserve">Emphasis on "Navigating Russia’s Economic Frontlines" with concrete examples: analyzing CIS import/export trends, adapting to new Central Bank regulations, and supporting St. Petersburg's 15% annual foreign investment growth.</w:t>
      </w:r>
    </w:p>
    <w:p>
      <w:pPr>
        <w:numPr>
          <w:ilvl w:val="0"/>
          <w:numId w:val="1003"/>
        </w:numPr>
        <w:pStyle w:val="Compact"/>
      </w:pPr>
      <w:r>
        <w:rPr>
          <w:bCs/>
          <w:b/>
        </w:rPr>
        <w:t xml:space="preserve">Multichannel Localized Outreach:</w:t>
      </w:r>
      <w:r>
        <w:t xml:space="preserve"> </w:t>
      </w:r>
      <w:r>
        <w:t xml:space="preserve">Prioritizing channels where Saint Petersburg finance professionals actively engage: LinkedIn (Russian-language), local job platforms (Rabota.ru, HH.ru), and university partnerships with St. Petersburg State University of Economics.</w:t>
      </w:r>
    </w:p>
    <w:p>
      <w:pPr>
        <w:pStyle w:val="FirstParagraph"/>
      </w:pPr>
      <w:r>
        <w:t xml:space="preserve">This strategy directly addresses the 47% candidate drop-off rate caused by irrelevant messaging in current recruitment campaigns across Russia Saint Petersburg.</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Russia Saint Petersburg Focus</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Conduct stakeholder interviews with 10+ St. Petersburg finance leaders; finalize Russian-language job description with local HR head.</w:t>
            </w:r>
          </w:p>
        </w:tc>
      </w:tr>
      <w:tr>
        <w:tc>
          <w:tcPr/>
          <w:p>
            <w:pPr>
              <w:pStyle w:val="Compact"/>
              <w:jc w:val="left"/>
            </w:pPr>
            <w:r>
              <w:t xml:space="preserve">Campaign Launch</w:t>
            </w:r>
          </w:p>
        </w:tc>
        <w:tc>
          <w:tcPr/>
          <w:p>
            <w:pPr>
              <w:pStyle w:val="Compact"/>
              <w:jc w:val="left"/>
            </w:pPr>
            <w:r>
              <w:t xml:space="preserve">Months 2-3</w:t>
            </w:r>
          </w:p>
        </w:tc>
        <w:tc>
          <w:tcPr/>
          <w:p>
            <w:pPr>
              <w:pStyle w:val="Compact"/>
              <w:jc w:val="left"/>
            </w:pPr>
            <w:r>
              <w:t xml:space="preserve">Deploy targeted ads on HH.ru (Russia’s largest job site) featuring St. Petersburg landmarks; host virtual coffee chats with current Saint Petersburg team members.</w:t>
            </w:r>
          </w:p>
        </w:tc>
      </w:tr>
      <w:tr>
        <w:tc>
          <w:tcPr/>
          <w:p>
            <w:pPr>
              <w:pStyle w:val="Compact"/>
              <w:jc w:val="left"/>
            </w:pPr>
            <w:r>
              <w:t xml:space="preserve">Community Activation</w:t>
            </w:r>
          </w:p>
        </w:tc>
        <w:tc>
          <w:tcPr/>
          <w:p>
            <w:pPr>
              <w:pStyle w:val="Compact"/>
              <w:jc w:val="left"/>
            </w:pPr>
            <w:r>
              <w:t xml:space="preserve">Months 4-5</w:t>
            </w:r>
          </w:p>
        </w:tc>
        <w:tc>
          <w:tcPr/>
          <w:p>
            <w:pPr>
              <w:pStyle w:val="Compact"/>
              <w:jc w:val="left"/>
            </w:pPr>
            <w:r>
              <w:t xml:space="preserve">Partner with St. Petersburg Financial Forum for sponsored panel on "Data Analytics in Post-Pandemic Russia"; recruit university ambassadors from SPbGU.</w:t>
            </w:r>
          </w:p>
        </w:tc>
      </w:tr>
      <w:tr>
        <w:tc>
          <w:tcPr/>
          <w:p>
            <w:pPr>
              <w:pStyle w:val="Compact"/>
              <w:jc w:val="left"/>
            </w:pPr>
            <w:r>
              <w:t xml:space="preserve">Evaluation &amp; Refinement</w:t>
            </w:r>
          </w:p>
        </w:tc>
        <w:tc>
          <w:tcPr/>
          <w:p>
            <w:pPr>
              <w:pStyle w:val="Compact"/>
              <w:jc w:val="left"/>
            </w:pPr>
            <w:r>
              <w:t xml:space="preserve">Month 6</w:t>
            </w:r>
          </w:p>
        </w:tc>
        <w:tc>
          <w:tcPr/>
          <w:p>
            <w:pPr>
              <w:pStyle w:val="Compact"/>
              <w:jc w:val="left"/>
            </w:pPr>
            <w:r>
              <w:t xml:space="preserve">Track Saint Petersburg applicant conversion rates; adjust messaging based on local feedback loops.</w:t>
            </w:r>
          </w:p>
        </w:tc>
      </w:tr>
    </w:tbl>
    <w:bookmarkEnd w:id="24"/>
    <w:bookmarkStart w:id="25" w:name="budget-allocation-total-48500"/>
    <w:p>
      <w:pPr>
        <w:pStyle w:val="Heading2"/>
      </w:pPr>
      <w:r>
        <w:t xml:space="preserve">Budget Allocation (Total: $48,500)</w:t>
      </w:r>
    </w:p>
    <w:p>
      <w:pPr>
        <w:numPr>
          <w:ilvl w:val="0"/>
          <w:numId w:val="1004"/>
        </w:numPr>
        <w:pStyle w:val="Compact"/>
      </w:pPr>
      <w:r>
        <w:rPr>
          <w:bCs/>
          <w:b/>
        </w:rPr>
        <w:t xml:space="preserve">Localized Content Creation (35%):</w:t>
      </w:r>
      <w:r>
        <w:t xml:space="preserve"> </w:t>
      </w:r>
      <w:r>
        <w:t xml:space="preserve">$17,000 - Including Russian-language video testimonials filmed at Saint Petersburg office locations.</w:t>
      </w:r>
    </w:p>
    <w:p>
      <w:pPr>
        <w:numPr>
          <w:ilvl w:val="0"/>
          <w:numId w:val="1004"/>
        </w:numPr>
        <w:pStyle w:val="Compact"/>
      </w:pPr>
      <w:r>
        <w:rPr>
          <w:bCs/>
          <w:b/>
        </w:rPr>
        <w:t xml:space="preserve">Targeted Digital Advertising (30%):</w:t>
      </w:r>
      <w:r>
        <w:t xml:space="preserve"> </w:t>
      </w:r>
      <w:r>
        <w:t xml:space="preserve">$14,500 - Geotargeted LinkedIn/HH.ru ads with St. Petersburg-specific keywords ("Saint Petersburg Financial Analyst", "Russia CIS Market Analyst").</w:t>
      </w:r>
    </w:p>
    <w:p>
      <w:pPr>
        <w:numPr>
          <w:ilvl w:val="0"/>
          <w:numId w:val="1004"/>
        </w:numPr>
        <w:pStyle w:val="Compact"/>
      </w:pPr>
      <w:r>
        <w:rPr>
          <w:bCs/>
          <w:b/>
        </w:rPr>
        <w:t xml:space="preserve">Local Partnerships (25%):</w:t>
      </w:r>
      <w:r>
        <w:t xml:space="preserve"> </w:t>
      </w:r>
      <w:r>
        <w:t xml:space="preserve">$12,000 - Sponsorship fees for St. Petersburg Financial Forum + university engagement program.</w:t>
      </w:r>
    </w:p>
    <w:p>
      <w:pPr>
        <w:numPr>
          <w:ilvl w:val="0"/>
          <w:numId w:val="1004"/>
        </w:numPr>
        <w:pStyle w:val="Compact"/>
      </w:pPr>
      <w:r>
        <w:rPr>
          <w:bCs/>
          <w:b/>
        </w:rPr>
        <w:t xml:space="preserve">Metrics Tracking (10%):</w:t>
      </w:r>
      <w:r>
        <w:t xml:space="preserve"> </w:t>
      </w:r>
      <w:r>
        <w:t xml:space="preserve">$5,000 - Custom analytics dashboard monitoring Saint Petersburg candidate journey.</w:t>
      </w:r>
    </w:p>
    <w:bookmarkEnd w:id="25"/>
    <w:bookmarkStart w:id="26" w:name="success-metrics-kpis"/>
    <w:p>
      <w:pPr>
        <w:pStyle w:val="Heading2"/>
      </w:pPr>
      <w:r>
        <w:t xml:space="preserve">Success Metrics &amp; KPIs</w:t>
      </w:r>
    </w:p>
    <w:p>
      <w:pPr>
        <w:pStyle w:val="FirstParagraph"/>
      </w:pPr>
      <w:r>
        <w:t xml:space="preserve">We will measure success against Saint Petersburg-specific benchmarks:</w:t>
      </w:r>
    </w:p>
    <w:p>
      <w:pPr>
        <w:numPr>
          <w:ilvl w:val="0"/>
          <w:numId w:val="1005"/>
        </w:numPr>
        <w:pStyle w:val="Compact"/>
      </w:pPr>
      <w:r>
        <w:rPr>
          <w:bCs/>
          <w:b/>
        </w:rPr>
        <w:t xml:space="preserve">Targeted Applicant Volume:</w:t>
      </w:r>
      <w:r>
        <w:t xml:space="preserve"> </w:t>
      </w:r>
      <w:r>
        <w:t xml:space="preserve">150 qualified applications from Saint Petersburg within 90 days (vs. industry average of 75).</w:t>
      </w:r>
    </w:p>
    <w:p>
      <w:pPr>
        <w:numPr>
          <w:ilvl w:val="0"/>
          <w:numId w:val="1005"/>
        </w:numPr>
        <w:pStyle w:val="Compact"/>
      </w:pPr>
      <w:r>
        <w:rPr>
          <w:bCs/>
          <w:b/>
        </w:rPr>
        <w:t xml:space="preserve">Cultural Alignment Score:</w:t>
      </w:r>
      <w:r>
        <w:t xml:space="preserve"> </w:t>
      </w:r>
      <w:r>
        <w:t xml:space="preserve">Minimum 4.2/5 on candidate surveys regarding "understanding of St. Petersburg business context" (measured via post-application survey).</w:t>
      </w:r>
    </w:p>
    <w:p>
      <w:pPr>
        <w:numPr>
          <w:ilvl w:val="0"/>
          <w:numId w:val="1005"/>
        </w:numPr>
        <w:pStyle w:val="Compact"/>
      </w:pPr>
      <w:r>
        <w:rPr>
          <w:bCs/>
          <w:b/>
        </w:rPr>
        <w:t xml:space="preserve">Time-to-Hire Reduction:</w:t>
      </w:r>
      <w:r>
        <w:t xml:space="preserve"> </w:t>
      </w:r>
      <w:r>
        <w:t xml:space="preserve">Achieve 30% faster recruitment cycle vs. previous Saint Petersburg roles by leveraging local referral networks.</w:t>
      </w:r>
    </w:p>
    <w:p>
      <w:pPr>
        <w:numPr>
          <w:ilvl w:val="0"/>
          <w:numId w:val="1005"/>
        </w:numPr>
        <w:pStyle w:val="Compact"/>
      </w:pPr>
      <w:r>
        <w:rPr>
          <w:bCs/>
          <w:b/>
        </w:rPr>
        <w:t xml:space="preserve">Retention Projection:</w:t>
      </w:r>
      <w:r>
        <w:t xml:space="preserve"> </w:t>
      </w:r>
      <w:r>
        <w:t xml:space="preserve">Target 85%+ retention rate for new Financial Analysts in Russia Saint Petersburg within first year (vs. industry average of 68%).</w:t>
      </w:r>
    </w:p>
    <w:bookmarkEnd w:id="26"/>
    <w:bookmarkStart w:id="27" w:name="X757899069336ab9625152537c811b58116efa6d"/>
    <w:p>
      <w:pPr>
        <w:pStyle w:val="Heading2"/>
      </w:pPr>
      <w:r>
        <w:t xml:space="preserve">Conclusion: Why This Marketing Plan Wins in Russia Saint Petersburg</w:t>
      </w:r>
    </w:p>
    <w:p>
      <w:pPr>
        <w:pStyle w:val="FirstParagraph"/>
      </w:pPr>
      <w:r>
        <w:t xml:space="preserve">This comprehensive Marketing Plan transcends generic recruitment by embedding itself within the fabric of Saint Petersburg's financial ecosystem. By centering our Financial Analyst opportunity around regional economic realities—rather than universal corporate messaging—we create authentic resonance with top talent in Russia Saint Petersburg. The campaign’s cultural intelligence, strategic local partnerships, and data-driven adaptation to Saint Petersburg's unique business environment position us to secure candidates who understand both global finance standards and the nuances of operating within Russia’s second-largest economic engine. This isn't merely a job posting; it's a strategic investment in our firm's long-term foothold in Northern Russia’s dynamic marketplace, where the right Financial Analyst directly impacts our ability to capitalize on St. Petersburg's role as Europe-Russia economic bridge.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Saint Petersburg, Russia</dc:title>
  <dc:creator/>
  <dc:language>en</dc:language>
  <cp:keywords/>
  <dcterms:created xsi:type="dcterms:W3CDTF">2026-07-24T11:26:37Z</dcterms:created>
  <dcterms:modified xsi:type="dcterms:W3CDTF">2026-07-24T11:26:37Z</dcterms:modified>
</cp:coreProperties>
</file>

<file path=docProps/custom.xml><?xml version="1.0" encoding="utf-8"?>
<Properties xmlns="http://schemas.openxmlformats.org/officeDocument/2006/custom-properties" xmlns:vt="http://schemas.openxmlformats.org/officeDocument/2006/docPropsVTypes"/>
</file>