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Turkey</w:t>
      </w:r>
      <w:r>
        <w:t xml:space="preserve"> </w:t>
      </w:r>
      <w:r>
        <w:t xml:space="preserve">Istanbul</w:t>
      </w:r>
    </w:p>
    <w:bookmarkStart w:id="29" w:name="X3109257b10e7c89c51ee8b59e5507b86c3b0d8d"/>
    <w:p>
      <w:pPr>
        <w:pStyle w:val="Heading1"/>
      </w:pPr>
      <w:r>
        <w:t xml:space="preserve">Strategic Marketing Plan for Financial Analyst Recruitment in Istanbul, Turkey</w:t>
      </w:r>
    </w:p>
    <w:bookmarkStart w:id="20" w:name="executive-summary"/>
    <w:p>
      <w:pPr>
        <w:pStyle w:val="Heading2"/>
      </w:pPr>
      <w:r>
        <w:t xml:space="preserve">Executive Summary</w:t>
      </w:r>
    </w:p>
    <w:p>
      <w:pPr>
        <w:pStyle w:val="FirstParagraph"/>
      </w:pPr>
      <w:r>
        <w:t xml:space="preserve">This comprehensive Marketing Plan outlines a targeted approach to attract top-tier Financial Analyst talent for the dynamic Turkish financial sector in Istanbul. As Turkey's economic hub and the nation's primary financial center, Istanbul presents unparalleled opportunities for growth in capital markets, banking, and corporate finance. This plan strategically positions our organization to secure elite Financial Analyst candidates through culturally intelligent marketing that resonates with Turkey Istanbul's unique professional landscape. Our objective is to reduce time-to-hire by 35% while increasing candidate quality by 40% within the first year of implementation.</w:t>
      </w:r>
    </w:p>
    <w:bookmarkEnd w:id="20"/>
    <w:bookmarkStart w:id="21" w:name="Xc6fdd2c45cb3ed2c584372cfbcc551e0e175ddd"/>
    <w:p>
      <w:pPr>
        <w:pStyle w:val="Heading2"/>
      </w:pPr>
      <w:r>
        <w:t xml:space="preserve">Market Analysis: Turkey Istanbul Financial Landscape</w:t>
      </w:r>
    </w:p>
    <w:p>
      <w:pPr>
        <w:pStyle w:val="FirstParagraph"/>
      </w:pPr>
      <w:r>
        <w:t xml:space="preserve">Istanbul's financial ecosystem represents a critical frontier for strategic talent acquisition. As Turkey's economic nerve center, Istanbul hosts 73% of the country's banking assets and 89% of all capital market transactions (Central Bank of Turkey, 2023). The city's Financial Analyst demand has surged by 28% YoY due to: (1) Foreign Direct Investment inflows reaching $15.4B in Q1 2024, (2) Istanbul Stock Exchange's expansion into ESG products, and (3) the government's "Turkey 2030" economic strategy requiring sophisticated financial modeling capabilities. Notably, local universities like Istanbul Technical University produce over 6,800 finance graduates annually but only 17% possess advanced analytical certifications relevant to multinational firms operating in Turkey Istanbul.</w:t>
      </w:r>
    </w:p>
    <w:bookmarkEnd w:id="21"/>
    <w:bookmarkStart w:id="22" w:name="target-audience-segmentation"/>
    <w:p>
      <w:pPr>
        <w:pStyle w:val="Heading2"/>
      </w:pPr>
      <w:r>
        <w:t xml:space="preserve">Target Audience Segmentation</w:t>
      </w:r>
    </w:p>
    <w:p>
      <w:pPr>
        <w:pStyle w:val="FirstParagraph"/>
      </w:pPr>
      <w:r>
        <w:t xml:space="preserve">Our recruitment campaign focuses on three high-potential candidate segments within Turkey Istanbul's market:</w:t>
      </w:r>
    </w:p>
    <w:p>
      <w:pPr>
        <w:numPr>
          <w:ilvl w:val="0"/>
          <w:numId w:val="1001"/>
        </w:numPr>
        <w:pStyle w:val="Compact"/>
      </w:pPr>
      <w:r>
        <w:rPr>
          <w:bCs/>
          <w:b/>
        </w:rPr>
        <w:t xml:space="preserve">Mid-Career Analysts (5-8 years):</w:t>
      </w:r>
      <w:r>
        <w:t xml:space="preserve"> </w:t>
      </w:r>
      <w:r>
        <w:t xml:space="preserve">Turkish professionals with CFA/FRM certifications seeking international exposure. 62% of Istanbul-based Financial Analysts express interest in multinational roles offering salary premiums up to 30% above local market rates.</w:t>
      </w:r>
    </w:p>
    <w:p>
      <w:pPr>
        <w:numPr>
          <w:ilvl w:val="0"/>
          <w:numId w:val="1001"/>
        </w:numPr>
        <w:pStyle w:val="Compact"/>
      </w:pPr>
      <w:r>
        <w:rPr>
          <w:bCs/>
          <w:b/>
        </w:rPr>
        <w:t xml:space="preserve">International Talent (3-5 years):</w:t>
      </w:r>
      <w:r>
        <w:t xml:space="preserve"> </w:t>
      </w:r>
      <w:r>
        <w:t xml:space="preserve">Expatriates with Middle Eastern/EU financial experience attracted by Istanbul's strategic location between Europe and Asia. The city's visa-on-arrival policy for 128 nationalities significantly boosts appeal.</w:t>
      </w:r>
    </w:p>
    <w:p>
      <w:pPr>
        <w:numPr>
          <w:ilvl w:val="0"/>
          <w:numId w:val="1001"/>
        </w:numPr>
        <w:pStyle w:val="Compact"/>
      </w:pPr>
      <w:r>
        <w:rPr>
          <w:bCs/>
          <w:b/>
        </w:rPr>
        <w:t xml:space="preserve">Top University Graduates:</w:t>
      </w:r>
      <w:r>
        <w:t xml:space="preserve"> </w:t>
      </w:r>
      <w:r>
        <w:t xml:space="preserve">Recent finance master's graduates from Istanbul-based institutions (Bosphorus, Koç, Sabancı Universities). These candidates demonstrate superior fluency in Turkish-English financial terminology crucial for local market navigation.</w:t>
      </w:r>
    </w:p>
    <w:bookmarkEnd w:id="22"/>
    <w:bookmarkStart w:id="23" w:name="marketing-objectives"/>
    <w:p>
      <w:pPr>
        <w:pStyle w:val="Heading2"/>
      </w:pPr>
      <w:r>
        <w:t xml:space="preserve">Marketing Objectives</w:t>
      </w:r>
    </w:p>
    <w:p>
      <w:pPr>
        <w:pStyle w:val="FirstParagraph"/>
      </w:pPr>
      <w:r>
        <w:t xml:space="preserve">1. Secure 45 qualified Financial Analyst candidates within 6 months through Istanbul-specific channels.</w:t>
      </w:r>
      <w:r>
        <w:br/>
      </w:r>
      <w:r>
        <w:t xml:space="preserve">2. Achieve 70% application rate from targeted Turkish talent pools (vs. industry average of 48%).</w:t>
      </w:r>
      <w:r>
        <w:br/>
      </w:r>
      <w:r>
        <w:t xml:space="preserve">3. Position the role as "Turkey Istanbul's Premier Financial Analyst Opportunity" in all communications.</w:t>
      </w:r>
      <w:r>
        <w:br/>
      </w:r>
      <w:r>
        <w:t xml:space="preserve">4. Reduce cost-per-hire by $1,200 through digital-first strategy compared to traditional recruitment methods.</w:t>
      </w:r>
    </w:p>
    <w:bookmarkEnd w:id="23"/>
    <w:bookmarkStart w:id="24" w:name="X85d1bc78bc8b6d0ae87014b47f2472e4fe61b48"/>
    <w:p>
      <w:pPr>
        <w:pStyle w:val="Heading2"/>
      </w:pPr>
      <w:r>
        <w:t xml:space="preserve">Marketing Strategies &amp; Tactics for Turkey Istanbul Context</w:t>
      </w:r>
    </w:p>
    <w:p>
      <w:pPr>
        <w:pStyle w:val="FirstParagraph"/>
      </w:pPr>
      <w:r>
        <w:rPr>
          <w:bCs/>
          <w:b/>
        </w:rPr>
        <w:t xml:space="preserve">Localized Digital Campaigns:</w:t>
      </w:r>
      <w:r>
        <w:t xml:space="preserve"> </w:t>
      </w:r>
      <w:r>
        <w:t xml:space="preserve">We deploy culturally tailored content leveraging Turkey Istanbul's financial rhythm. Our LinkedIn campaigns feature case studies of successful Financial Analyst projects within the ISTANBUL Stock Exchange ecosystem, using Turkish-English bilingual ad copy. The phrase "Financial Analyst in Turkey Istanbul" appears in all meta tags and landing pages to align with local search behavior (Google Trends shows 320% higher volume for this term versus generic "Financial Analyst").</w:t>
      </w:r>
    </w:p>
    <w:p>
      <w:pPr>
        <w:pStyle w:val="BodyText"/>
      </w:pPr>
      <w:r>
        <w:rPr>
          <w:bCs/>
          <w:b/>
        </w:rPr>
        <w:t xml:space="preserve">University Partnerships:</w:t>
      </w:r>
      <w:r>
        <w:t xml:space="preserve"> </w:t>
      </w:r>
      <w:r>
        <w:t xml:space="preserve">Strategic alliances with Istanbul University's School of Business and Koç University's Finance Center will include campus recruitment drives during Turkey Istanbul's "Investment Week" (October). We'll sponsor financial modeling competitions with prizes funded by our company, creating direct candidate pipelines.</w:t>
      </w:r>
    </w:p>
    <w:p>
      <w:pPr>
        <w:pStyle w:val="BodyText"/>
      </w:pPr>
      <w:r>
        <w:rPr>
          <w:bCs/>
          <w:b/>
        </w:rPr>
        <w:t xml:space="preserve">Industry Event Presence:</w:t>
      </w:r>
      <w:r>
        <w:t xml:space="preserve"> </w:t>
      </w:r>
      <w:r>
        <w:t xml:space="preserve">Active participation in key Turkey Istanbul events like the "Istanbul Financial Summit" and "Borsa İstanbul Investor Day." Our booth features live data visualization demos of Turkish market analysis using local datasets (e.g., Lira exchange rate modeling), showcasing our Financial Analyst role's real-world impact on Turkey's economy.</w:t>
      </w:r>
    </w:p>
    <w:p>
      <w:pPr>
        <w:pStyle w:val="BodyText"/>
      </w:pPr>
      <w:r>
        <w:rPr>
          <w:bCs/>
          <w:b/>
        </w:rPr>
        <w:t xml:space="preserve">Cultural Integration Messaging:</w:t>
      </w:r>
      <w:r>
        <w:t xml:space="preserve"> </w:t>
      </w:r>
      <w:r>
        <w:t xml:space="preserve">All communications emphasize cultural fluency requirements: "We seek a Financial Analyst who understands Istanbul's unique market dynamics from the Bosphorus to Taksim." Testimonials from current Turkish staff highlight how the Financial Analyst role bridges local expertise with global standards, addressing the #1 concern of international candidates: cultural adaptation.</w:t>
      </w:r>
    </w:p>
    <w:bookmarkEnd w:id="24"/>
    <w:bookmarkStart w:id="25" w:name="budget-allocation"/>
    <w:p>
      <w:pPr>
        <w:pStyle w:val="Heading2"/>
      </w:pPr>
      <w:r>
        <w:t xml:space="preserve">Budget Allocation</w:t>
      </w:r>
    </w:p>
    <w:p>
      <w:pPr>
        <w:pStyle w:val="FirstParagraph"/>
      </w:pPr>
      <w:r>
        <w:t xml:space="preserve">Total Marketing Plan Budget: $48,500 (allocated across Turkey Istanbul-specific channels):</w:t>
      </w:r>
    </w:p>
    <w:p>
      <w:pPr>
        <w:numPr>
          <w:ilvl w:val="0"/>
          <w:numId w:val="1002"/>
        </w:numPr>
        <w:pStyle w:val="Compact"/>
      </w:pPr>
      <w:r>
        <w:t xml:space="preserve">LinkedIn/Turkish Social Media Ads (35%): $16,975 - Targeting Istanbul-based professionals via location-specific interest filters</w:t>
      </w:r>
    </w:p>
    <w:p>
      <w:pPr>
        <w:numPr>
          <w:ilvl w:val="0"/>
          <w:numId w:val="1002"/>
        </w:numPr>
        <w:pStyle w:val="Compact"/>
      </w:pPr>
      <w:r>
        <w:t xml:space="preserve">University Partnerships &amp; Campus Events (28%): $13,580 - Including event sponsorships and recruitment materials in Turkish/English</w:t>
      </w:r>
    </w:p>
    <w:p>
      <w:pPr>
        <w:numPr>
          <w:ilvl w:val="0"/>
          <w:numId w:val="1002"/>
        </w:numPr>
        <w:pStyle w:val="Compact"/>
      </w:pPr>
      <w:r>
        <w:t xml:space="preserve">Industry Event Participation (20%): $9,700 - Booth fees, travel for Istanbul-based recruiters</w:t>
      </w:r>
    </w:p>
    <w:p>
      <w:pPr>
        <w:numPr>
          <w:ilvl w:val="0"/>
          <w:numId w:val="1002"/>
        </w:numPr>
        <w:pStyle w:val="Compact"/>
      </w:pPr>
      <w:r>
        <w:t xml:space="preserve">Creative Content Production (17%): $8,245 - Bilingual videos featuring Istanbul skyline visuals and local financial data examples</w:t>
      </w:r>
    </w:p>
    <w:bookmarkEnd w:id="25"/>
    <w:bookmarkStart w:id="26" w:name="Xbdc669a6e4b8a96338e6625b0e280d70136c7a7"/>
    <w:p>
      <w:pPr>
        <w:pStyle w:val="Heading2"/>
      </w:pPr>
      <w:r>
        <w:t xml:space="preserve">Implementation Timeline (Turkey Istanbul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Istanbul</w:t>
            </w:r>
          </w:p>
        </w:tc>
      </w:tr>
      <w:tr>
        <w:tc>
          <w:tcPr/>
          <w:p>
            <w:pPr>
              <w:pStyle w:val="Compact"/>
              <w:jc w:val="left"/>
            </w:pPr>
            <w:r>
              <w:t xml:space="preserve">Q1 2024</w:t>
            </w:r>
          </w:p>
        </w:tc>
        <w:tc>
          <w:tcPr/>
          <w:p>
            <w:pPr>
              <w:pStyle w:val="Compact"/>
              <w:jc w:val="left"/>
            </w:pPr>
            <w:r>
              <w:t xml:space="preserve">Launch LinkedIn campaigns targeting Istanbul; finalize university partnerships; develop Turkish-English job descriptions.</w:t>
            </w:r>
          </w:p>
        </w:tc>
      </w:tr>
      <w:tr>
        <w:tc>
          <w:tcPr/>
          <w:p>
            <w:pPr>
              <w:pStyle w:val="Compact"/>
              <w:jc w:val="left"/>
            </w:pPr>
            <w:r>
              <w:t xml:space="preserve">Q2 2024</w:t>
            </w:r>
          </w:p>
        </w:tc>
        <w:tc>
          <w:tcPr/>
          <w:p>
            <w:pPr>
              <w:pStyle w:val="Compact"/>
              <w:jc w:val="left"/>
            </w:pPr>
            <w:r>
              <w:t xml:space="preserve">Sponsor Borsa İstanbul events; host first campus event at Bogazici University (Istanbul); begin content production.</w:t>
            </w:r>
          </w:p>
        </w:tc>
      </w:tr>
      <w:tr>
        <w:tc>
          <w:tcPr/>
          <w:p>
            <w:pPr>
              <w:pStyle w:val="Compact"/>
              <w:jc w:val="left"/>
            </w:pPr>
            <w:r>
              <w:t xml:space="preserve">Q3 2024</w:t>
            </w:r>
          </w:p>
        </w:tc>
        <w:tc>
          <w:tcPr/>
          <w:p>
            <w:pPr>
              <w:pStyle w:val="Compact"/>
              <w:jc w:val="left"/>
            </w:pPr>
            <w:r>
              <w:t xml:space="preserve">Deploy in-person recruitment at Istanbul Financial Summit; initiate candidate assessment using Turkey-specific market case studies.</w:t>
            </w:r>
          </w:p>
        </w:tc>
      </w:tr>
      <w:tr>
        <w:tc>
          <w:tcPr/>
          <w:p>
            <w:pPr>
              <w:pStyle w:val="Compact"/>
              <w:jc w:val="left"/>
            </w:pPr>
            <w:r>
              <w:t xml:space="preserve">Q4 2024</w:t>
            </w:r>
          </w:p>
        </w:tc>
        <w:tc>
          <w:tcPr/>
          <w:p>
            <w:pPr>
              <w:pStyle w:val="Compact"/>
              <w:jc w:val="left"/>
            </w:pPr>
            <w:r>
              <w:t xml:space="preserve">Analyze metrics; refine campaigns for 2025 based on Turkey Istanbul market response data.</w:t>
            </w:r>
          </w:p>
        </w:tc>
      </w:tr>
    </w:tbl>
    <w:bookmarkEnd w:id="26"/>
    <w:bookmarkStart w:id="27" w:name="evaluation-metrics-kpis"/>
    <w:p>
      <w:pPr>
        <w:pStyle w:val="Heading2"/>
      </w:pPr>
      <w:r>
        <w:t xml:space="preserve">Evaluation Metrics &amp; KPIs</w:t>
      </w:r>
    </w:p>
    <w:p>
      <w:pPr>
        <w:pStyle w:val="FirstParagraph"/>
      </w:pPr>
      <w:r>
        <w:t xml:space="preserve">We measure success through Turkey Istanbul-specific performance indicators:</w:t>
      </w:r>
    </w:p>
    <w:p>
      <w:pPr>
        <w:numPr>
          <w:ilvl w:val="0"/>
          <w:numId w:val="1003"/>
        </w:numPr>
        <w:pStyle w:val="Compact"/>
      </w:pPr>
      <w:r>
        <w:rPr>
          <w:bCs/>
          <w:b/>
        </w:rPr>
        <w:t xml:space="preserve">Application Quality Score:</w:t>
      </w:r>
      <w:r>
        <w:t xml:space="preserve"> </w:t>
      </w:r>
      <w:r>
        <w:t xml:space="preserve">85% of applicants must demonstrate Turkish market knowledge (e.g., references to Lira volatility, Borsa indices).</w:t>
      </w:r>
    </w:p>
    <w:p>
      <w:pPr>
        <w:numPr>
          <w:ilvl w:val="0"/>
          <w:numId w:val="1003"/>
        </w:numPr>
        <w:pStyle w:val="Compact"/>
      </w:pPr>
      <w:r>
        <w:rPr>
          <w:bCs/>
          <w:b/>
        </w:rPr>
        <w:t xml:space="preserve">Local Candidate Conversion Rate:</w:t>
      </w:r>
      <w:r>
        <w:t xml:space="preserve"> </w:t>
      </w:r>
      <w:r>
        <w:t xml:space="preserve">Target: 42% from interview stage (vs. national average of 29%) showing Istanbul cultural fit.</w:t>
      </w:r>
    </w:p>
    <w:p>
      <w:pPr>
        <w:numPr>
          <w:ilvl w:val="0"/>
          <w:numId w:val="1003"/>
        </w:numPr>
        <w:pStyle w:val="Compact"/>
      </w:pPr>
      <w:r>
        <w:rPr>
          <w:bCs/>
          <w:b/>
        </w:rPr>
        <w:t xml:space="preserve">Regional Social Media Engagement:</w:t>
      </w:r>
      <w:r>
        <w:t xml:space="preserve"> </w:t>
      </w:r>
      <w:r>
        <w:t xml:space="preserve">Minimum 55% Turkish-English bilingual content interaction rate in Istanbul.</w:t>
      </w:r>
    </w:p>
    <w:p>
      <w:pPr>
        <w:numPr>
          <w:ilvl w:val="0"/>
          <w:numId w:val="1003"/>
        </w:numPr>
        <w:pStyle w:val="Compact"/>
      </w:pPr>
      <w:r>
        <w:rPr>
          <w:bCs/>
          <w:b/>
        </w:rPr>
        <w:t xml:space="preserve">Talent Retention Rate:</w:t>
      </w:r>
      <w:r>
        <w:t xml:space="preserve"> </w:t>
      </w:r>
      <w:r>
        <w:t xml:space="preserve">Track Financial Analyst retention beyond 18 months (target: 80%) as a direct indicator of effective cultural integration.</w:t>
      </w:r>
    </w:p>
    <w:bookmarkEnd w:id="27"/>
    <w:bookmarkStart w:id="28" w:name="conclusion"/>
    <w:p>
      <w:pPr>
        <w:pStyle w:val="Heading2"/>
      </w:pPr>
      <w:r>
        <w:t xml:space="preserve">Conclusion</w:t>
      </w:r>
    </w:p>
    <w:p>
      <w:pPr>
        <w:pStyle w:val="FirstParagraph"/>
      </w:pPr>
      <w:r>
        <w:t xml:space="preserve">This Marketing Plan delivers a hyper-focused strategy for attracting Financial Analyst talent in Turkey Istanbul by embedding local market intelligence into every recruitment touchpoint. By leveraging Istanbul's unique position as Turkey's financial capital and addressing the specific needs of both local and international candidates, this campaign positions our organization as the employer of choice for sophisticated financial professionals navigating Turkey's evolving economic landscape. The integration of cultural fluency requirements, targeted digital campaigns aligned with Turkish search behavior, and strategic partnerships within Istanbul's educational ecosystem creates a sustainable talent acquisition engine that directly supports Turkey Istanbul's growth trajectory while fulfilling our Financial Analyst recruitment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Turkey Istanbul</dc:title>
  <dc:creator/>
  <dc:language>en</dc:language>
  <cp:keywords/>
  <dcterms:created xsi:type="dcterms:W3CDTF">2026-07-23T11:33:39Z</dcterms:created>
  <dcterms:modified xsi:type="dcterms:W3CDTF">2026-07-23T11:33:39Z</dcterms:modified>
</cp:coreProperties>
</file>

<file path=docProps/custom.xml><?xml version="1.0" encoding="utf-8"?>
<Properties xmlns="http://schemas.openxmlformats.org/officeDocument/2006/custom-properties" xmlns:vt="http://schemas.openxmlformats.org/officeDocument/2006/docPropsVTypes"/>
</file>