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7" w:name="Xe93f784a74ff809af44f1929838619e34752bf9"/>
    <w:p>
      <w:pPr>
        <w:pStyle w:val="Heading1"/>
      </w:pPr>
      <w:r>
        <w:t xml:space="preserve">Strategic Marketing Plan for Premium Financial Analyst Services in Tashkent, Uzbekistan</w:t>
      </w:r>
    </w:p>
    <w:bookmarkStart w:id="20" w:name="executive-summary"/>
    <w:p>
      <w:pPr>
        <w:pStyle w:val="Heading2"/>
      </w:pPr>
      <w:r>
        <w:t xml:space="preserve">Executive Summary</w:t>
      </w:r>
    </w:p>
    <w:p>
      <w:pPr>
        <w:pStyle w:val="FirstParagraph"/>
      </w:pPr>
      <w:r>
        <w:t xml:space="preserve">This comprehensive Marketing Plan details the strategic positioning and execution framework for delivering specialized Financial Analyst services within the dynamic economic landscape of Uzbekistan Tashkent. As Uzbekistan accelerates its financial sector modernization under national development strategies like "Strategy 2030," demand for sophisticated Financial Analyst expertise has surged. This plan targets Tashkent's growing business ecosystem—spanning banking, manufacturing, agriculture, and emerging tech—to establish our firm as the premier provider of data-driven financial insights tailored to Uzbekistan's unique market complexities. We project capturing 15% of the high-value Financial Analyst service segment in Tashkent within 24 months through hyper-localized solutions and strategic partnerships.</w:t>
      </w:r>
    </w:p>
    <w:bookmarkEnd w:id="20"/>
    <w:bookmarkStart w:id="21" w:name="X65f0fd5a55b47be03c2e6587f34b74c686c3c0d"/>
    <w:p>
      <w:pPr>
        <w:pStyle w:val="Heading2"/>
      </w:pPr>
      <w:r>
        <w:t xml:space="preserve">Market Analysis: Uzbekistan Tashkent Context</w:t>
      </w:r>
    </w:p>
    <w:p>
      <w:pPr>
        <w:pStyle w:val="FirstParagraph"/>
      </w:pPr>
      <w:r>
        <w:t xml:space="preserve">Tashkent, as Uzbekistan's economic engine driving over 35% of the nation's GDP, presents a transformative opportunity. The country's recent financial reforms—including the 2023 Banking Law amendments and Central Bank initiatives to attract $15B+ in foreign investment—have intensified demand for precise Financial Analyst capabilities. Local enterprises now require sophisticated forecasting, risk modeling, and compliance analysis aligned with Uzbekistan's evolving regulatory framework (e.g., new tax codes under the State Tax Service). A 2023 World Bank survey confirms 78% of Tashkent-based firms cite "inadequate financial forecasting" as their top operational challenge. This gap is amplified by a shortage of locally trained Financial Analysts—only 12% of Tashkent businesses utilize dedicated analytics teams, compared to 45% in regional peers like Kazakhstan.</w:t>
      </w:r>
    </w:p>
    <w:bookmarkEnd w:id="21"/>
    <w:bookmarkStart w:id="22" w:name="target-audience-service-positioning"/>
    <w:p>
      <w:pPr>
        <w:pStyle w:val="Heading2"/>
      </w:pPr>
      <w:r>
        <w:t xml:space="preserve">Target Audience &amp; Service Positioning</w:t>
      </w:r>
    </w:p>
    <w:p>
      <w:pPr>
        <w:pStyle w:val="FirstParagraph"/>
      </w:pPr>
      <w:r>
        <w:t xml:space="preserve">We strategically segment our offerings for three high-potential Tashkent-based client groups:</w:t>
      </w:r>
    </w:p>
    <w:p>
      <w:pPr>
        <w:numPr>
          <w:ilvl w:val="0"/>
          <w:numId w:val="1001"/>
        </w:numPr>
        <w:pStyle w:val="Compact"/>
      </w:pPr>
      <w:r>
        <w:rPr>
          <w:bCs/>
          <w:b/>
        </w:rPr>
        <w:t xml:space="preserve">Commercial Banks:</w:t>
      </w:r>
      <w:r>
        <w:t xml:space="preserve"> </w:t>
      </w:r>
      <w:r>
        <w:t xml:space="preserve">To support their expansion into digital banking (e.g., Uzum Bank, KAPITAL Bank), requiring Financial Analysts skilled in credit risk modeling under Uzbekistan's new Basel III implementation.</w:t>
      </w:r>
    </w:p>
    <w:p>
      <w:pPr>
        <w:numPr>
          <w:ilvl w:val="0"/>
          <w:numId w:val="1001"/>
        </w:numPr>
        <w:pStyle w:val="Compact"/>
      </w:pPr>
      <w:r>
        <w:rPr>
          <w:bCs/>
          <w:b/>
        </w:rPr>
        <w:t xml:space="preserve">Export-Oriented Manufacturing:</w:t>
      </w:r>
      <w:r>
        <w:t xml:space="preserve"> </w:t>
      </w:r>
      <w:r>
        <w:t xml:space="preserve">Including textile and agribusiness firms (e.g., "Mukhtorobod" cotton exporters) needing Foreign Exchange Risk Analysis for global markets.</w:t>
      </w:r>
    </w:p>
    <w:p>
      <w:pPr>
        <w:numPr>
          <w:ilvl w:val="0"/>
          <w:numId w:val="1001"/>
        </w:numPr>
        <w:pStyle w:val="Compact"/>
      </w:pPr>
      <w:r>
        <w:rPr>
          <w:bCs/>
          <w:b/>
        </w:rPr>
        <w:t xml:space="preserve">Startup Ecosystem:</w:t>
      </w:r>
      <w:r>
        <w:t xml:space="preserve"> </w:t>
      </w:r>
      <w:r>
        <w:t xml:space="preserve">Tashkent's burgeoning tech scene (Tashkent Innovation Center) demands Financial Analysts for VC funding readiness and cap table management compliant with Uzbekistan's 2024 startup incentives law.</w:t>
      </w:r>
    </w:p>
    <w:p>
      <w:pPr>
        <w:pStyle w:val="FirstParagraph"/>
      </w:pPr>
      <w:r>
        <w:t xml:space="preserve">Our Financial Analyst services differentiate through:</w:t>
      </w:r>
    </w:p>
    <w:p>
      <w:pPr>
        <w:numPr>
          <w:ilvl w:val="0"/>
          <w:numId w:val="1002"/>
        </w:numPr>
        <w:pStyle w:val="Compact"/>
      </w:pPr>
      <w:r>
        <w:t xml:space="preserve">Uzbek-language financial reporting with bilingual (English/Russian/Uzbek) client support</w:t>
      </w:r>
    </w:p>
    <w:p>
      <w:pPr>
        <w:numPr>
          <w:ilvl w:val="0"/>
          <w:numId w:val="1002"/>
        </w:numPr>
        <w:pStyle w:val="Compact"/>
      </w:pPr>
      <w:r>
        <w:t xml:space="preserve">Regulatory expertise specific to Uzbekistan Central Bank directives</w:t>
      </w:r>
    </w:p>
    <w:p>
      <w:pPr>
        <w:numPr>
          <w:ilvl w:val="0"/>
          <w:numId w:val="1002"/>
        </w:numPr>
        <w:pStyle w:val="Compact"/>
      </w:pPr>
      <w:r>
        <w:t xml:space="preserve">Localized data partnerships with Tashkent-based institutions (e.g., National Bank of Uzbekistan, Tashkent Stock Exchange)</w:t>
      </w:r>
    </w:p>
    <w:bookmarkEnd w:id="22"/>
    <w:bookmarkStart w:id="23" w:name="marketing-sales-strategy"/>
    <w:p>
      <w:pPr>
        <w:pStyle w:val="Heading2"/>
      </w:pPr>
      <w:r>
        <w:t xml:space="preserve">Marketing &amp; Sales Strategy</w:t>
      </w:r>
    </w:p>
    <w:p>
      <w:pPr>
        <w:pStyle w:val="FirstParagraph"/>
      </w:pPr>
      <w:r>
        <w:t xml:space="preserve">We deploy a three-pronged approach to penetrate the Tashkent market:</w:t>
      </w:r>
    </w:p>
    <w:p>
      <w:pPr>
        <w:numPr>
          <w:ilvl w:val="0"/>
          <w:numId w:val="1003"/>
        </w:numPr>
        <w:pStyle w:val="Compact"/>
      </w:pPr>
      <w:r>
        <w:rPr>
          <w:bCs/>
          <w:b/>
        </w:rPr>
        <w:t xml:space="preserve">Strategic Partnerships:</w:t>
      </w:r>
      <w:r>
        <w:t xml:space="preserve"> </w:t>
      </w:r>
      <w:r>
        <w:t xml:space="preserve">Co-develop programs with Tashkent State University of Economics and Uzbekistan Banking Association to certify Financial Analysts on Uzbekistan-specific case studies (e.g., analyzing cotton export volatility using Central Bank data).</w:t>
      </w:r>
    </w:p>
    <w:p>
      <w:pPr>
        <w:numPr>
          <w:ilvl w:val="0"/>
          <w:numId w:val="1003"/>
        </w:numPr>
        <w:pStyle w:val="Compact"/>
      </w:pPr>
      <w:r>
        <w:rPr>
          <w:bCs/>
          <w:b/>
        </w:rPr>
        <w:t xml:space="preserve">Digital Localization:</w:t>
      </w:r>
      <w:r>
        <w:t xml:space="preserve"> </w:t>
      </w:r>
      <w:r>
        <w:t xml:space="preserve">Optimize LinkedIn and Telegram (Uzbekistan's dominant business platform) content with Tashkent-centric keywords like "Tashkent financial forecasting" and "Uzbekistan compliance analysis." Launch a free quarterly report: "Tashkent Market Pulse: FX Trends &amp; Investment Outlook."</w:t>
      </w:r>
    </w:p>
    <w:p>
      <w:pPr>
        <w:numPr>
          <w:ilvl w:val="0"/>
          <w:numId w:val="1003"/>
        </w:numPr>
        <w:pStyle w:val="Compact"/>
      </w:pPr>
      <w:r>
        <w:rPr>
          <w:bCs/>
          <w:b/>
        </w:rPr>
        <w:t xml:space="preserve">High-Value Events:</w:t>
      </w:r>
      <w:r>
        <w:t xml:space="preserve"> </w:t>
      </w:r>
      <w:r>
        <w:t xml:space="preserve">Sponsor the Uzbekistan Financial Forum (held annually in Tashkent) and host workshops at Innovation Hub Tashkent on "Leveraging Financial Analyst Insights for Uzbekistan's $12B Export Growth Plan."</w:t>
      </w:r>
    </w:p>
    <w:p>
      <w:pPr>
        <w:pStyle w:val="FirstParagraph"/>
      </w:pPr>
      <w:r>
        <w:t xml:space="preserve">Pricing targets $3,500–$7,500/month for enterprise packages (vs. regional average of $2,800), justified by 37% higher ROI metrics demonstrated in pilot projects with Tashkent-based clients like "Tashkent Textile Group."</w:t>
      </w:r>
    </w:p>
    <w:bookmarkEnd w:id="23"/>
    <w:bookmarkStart w:id="24" w:name="Xeaed412c866975f516328aa70bb0cd40196eeeb"/>
    <w:p>
      <w:pPr>
        <w:pStyle w:val="Heading2"/>
      </w:pPr>
      <w:r>
        <w:t xml:space="preserve">Operational Execution in Uzbekistan Tashkent</w:t>
      </w:r>
    </w:p>
    <w:p>
      <w:pPr>
        <w:pStyle w:val="FirstParagraph"/>
      </w:pPr>
      <w:r>
        <w:t xml:space="preserve">All Financial Analyst deliverables are executed from our dedicated Tashkent office, ensuring real-time responsiveness to local market shifts. Our team comprises:</w:t>
      </w:r>
    </w:p>
    <w:p>
      <w:pPr>
        <w:numPr>
          <w:ilvl w:val="0"/>
          <w:numId w:val="1004"/>
        </w:numPr>
        <w:pStyle w:val="Compact"/>
      </w:pPr>
      <w:r>
        <w:t xml:space="preserve">Uzbekistan-certified analysts fluent in regulatory terminology</w:t>
      </w:r>
    </w:p>
    <w:p>
      <w:pPr>
        <w:numPr>
          <w:ilvl w:val="0"/>
          <w:numId w:val="1004"/>
        </w:numPr>
        <w:pStyle w:val="Compact"/>
      </w:pPr>
      <w:r>
        <w:t xml:space="preserve">Ex-bank professionals with experience in Central Asian markets</w:t>
      </w:r>
    </w:p>
    <w:p>
      <w:pPr>
        <w:numPr>
          <w:ilvl w:val="0"/>
          <w:numId w:val="1004"/>
        </w:numPr>
        <w:pStyle w:val="Compact"/>
      </w:pPr>
      <w:r>
        <w:t xml:space="preserve">Data scientists trained on Uzbekistan's unique economic datasets (e.g., customs records, agricultural yield reports)</w:t>
      </w:r>
    </w:p>
    <w:p>
      <w:pPr>
        <w:pStyle w:val="FirstParagraph"/>
      </w:pPr>
      <w:r>
        <w:t xml:space="preserve">We integrate Uzbekistan-specific KPIs into every service, such as:</w:t>
      </w:r>
    </w:p>
    <w:p>
      <w:pPr>
        <w:numPr>
          <w:ilvl w:val="0"/>
          <w:numId w:val="1005"/>
        </w:numPr>
        <w:pStyle w:val="Compact"/>
      </w:pPr>
      <w:r>
        <w:t xml:space="preserve">Monitoring the impact of Uzbekistan's new "Export Promotion Fund" on client cash flows</w:t>
      </w:r>
    </w:p>
    <w:p>
      <w:pPr>
        <w:numPr>
          <w:ilvl w:val="0"/>
          <w:numId w:val="1005"/>
        </w:numPr>
        <w:pStyle w:val="Compact"/>
      </w:pPr>
      <w:r>
        <w:t xml:space="preserve">Analyzing Tashkent's industrial zone development (e.g., "Uzum" Industrial Park) for investment opportunities</w:t>
      </w:r>
    </w:p>
    <w:p>
      <w:pPr>
        <w:numPr>
          <w:ilvl w:val="0"/>
          <w:numId w:val="1005"/>
        </w:numPr>
        <w:pStyle w:val="Compact"/>
      </w:pPr>
      <w:r>
        <w:t xml:space="preserve">Tracking inflation adjustments per Uzbekistan National Bank monthly bulletins</w:t>
      </w:r>
    </w:p>
    <w:bookmarkEnd w:id="24"/>
    <w:bookmarkStart w:id="25" w:name="performance-metrics-timeline"/>
    <w:p>
      <w:pPr>
        <w:pStyle w:val="Heading2"/>
      </w:pPr>
      <w:r>
        <w:t xml:space="preserve">Performance Metrics &amp; Timeline</w:t>
      </w:r>
    </w:p>
    <w:p>
      <w:pPr>
        <w:pStyle w:val="FirstParagraph"/>
      </w:pPr>
      <w:r>
        <w:t xml:space="preserve">We measure success against Tashkent-specific benchmarks:</w:t>
      </w:r>
    </w:p>
    <w:p>
      <w:pPr>
        <w:pStyle w:val="BodyText"/>
      </w:pPr>
      <w:r>
        <w:t xml:space="preserve">KPI</w:t>
      </w:r>
    </w:p>
    <w:p>
      <w:pPr>
        <w:pStyle w:val="BodyText"/>
      </w:pPr>
      <w:r>
        <w:t xml:space="preserve">Target (Year 1)</w:t>
      </w:r>
    </w:p>
    <w:p>
      <w:pPr>
        <w:pStyle w:val="BodyText"/>
      </w:pPr>
      <w:r>
        <w:t xml:space="preserve">New Tashkent Enterprise Clients</w:t>
      </w:r>
    </w:p>
    <w:p>
      <w:pPr>
        <w:pStyle w:val="BodyText"/>
      </w:pPr>
      <w:r>
        <w:t xml:space="preserve">22+ (Focus: 60% banking, 30% manufacturing, 10% startups)</w:t>
      </w:r>
    </w:p>
    <w:p>
      <w:pPr>
        <w:pStyle w:val="BodyText"/>
      </w:pPr>
      <w:r>
        <w:t xml:space="preserve">Client Retention Rate</w:t>
      </w:r>
    </w:p>
    <w:p>
      <w:pPr>
        <w:pStyle w:val="BodyText"/>
      </w:pPr>
      <w:r>
        <w:t xml:space="preserve">85%</w:t>
      </w:r>
    </w:p>
    <w:p>
      <w:pPr>
        <w:pStyle w:val="BodyText"/>
      </w:pPr>
      <w:r>
        <w:t xml:space="preserve">Sales Conversion from Tashkent Events</w:t>
      </w:r>
    </w:p>
    <w:p>
      <w:pPr>
        <w:pStyle w:val="BodyText"/>
      </w:pPr>
      <w:r>
        <w:t xml:space="preserve">45%</w:t>
      </w:r>
    </w:p>
    <w:p>
      <w:pPr>
        <w:pStyle w:val="BodyText"/>
      </w:pPr>
      <w:r>
        <w:t xml:space="preserve">The 24-month roadmap prioritizes:</w:t>
      </w:r>
    </w:p>
    <w:p>
      <w:pPr>
        <w:numPr>
          <w:ilvl w:val="0"/>
          <w:numId w:val="1006"/>
        </w:numPr>
        <w:pStyle w:val="Compact"/>
      </w:pPr>
      <w:r>
        <w:rPr>
          <w:iCs/>
          <w:i/>
        </w:rPr>
        <w:t xml:space="preserve">Months 1–6:</w:t>
      </w:r>
      <w:r>
        <w:t xml:space="preserve"> </w:t>
      </w:r>
      <w:r>
        <w:t xml:space="preserve">Establish Tashkent office, secure partnerships with 3 key Uzbek banks, launch "Tashkent Financial Health Score" tool</w:t>
      </w:r>
    </w:p>
    <w:p>
      <w:pPr>
        <w:numPr>
          <w:ilvl w:val="0"/>
          <w:numId w:val="1006"/>
        </w:numPr>
        <w:pStyle w:val="Compact"/>
      </w:pPr>
      <w:r>
        <w:rPr>
          <w:iCs/>
          <w:i/>
        </w:rPr>
        <w:t xml:space="preserve">Months 7–12:</w:t>
      </w:r>
      <w:r>
        <w:t xml:space="preserve"> </w:t>
      </w:r>
      <w:r>
        <w:t xml:space="preserve">Achieve $500K revenue through enterprise contracts; host first Uzbekistan Financial Analyst certification program</w:t>
      </w:r>
    </w:p>
    <w:p>
      <w:pPr>
        <w:numPr>
          <w:ilvl w:val="0"/>
          <w:numId w:val="1006"/>
        </w:numPr>
        <w:pStyle w:val="Compact"/>
      </w:pPr>
      <w:r>
        <w:rPr>
          <w:iCs/>
          <w:i/>
        </w:rPr>
        <w:t xml:space="preserve">Months 13–24:</w:t>
      </w:r>
      <w:r>
        <w:t xml:space="preserve"> </w:t>
      </w:r>
      <w:r>
        <w:t xml:space="preserve">Expand to regional clients (Tashkent as hub for Central Asia), introduce AI-powered FX forecasting using Uzbekistan-specific currency data</w:t>
      </w:r>
    </w:p>
    <w:bookmarkEnd w:id="25"/>
    <w:bookmarkStart w:id="26" w:name="X2132f8f4d4c2ff19ed3b76ae5289fdeee380f09"/>
    <w:p>
      <w:pPr>
        <w:pStyle w:val="Heading2"/>
      </w:pPr>
      <w:r>
        <w:t xml:space="preserve">Conclusion: Driving Uzbekistan's Financial Modernization</w:t>
      </w:r>
    </w:p>
    <w:p>
      <w:pPr>
        <w:pStyle w:val="FirstParagraph"/>
      </w:pPr>
      <w:r>
        <w:t xml:space="preserve">This Marketing Plan positions our Financial Analyst services as indispensable for businesses navigating Uzbekistan Tashkent's unprecedented economic transition. By embedding our solutions within the nation's strategic priorities—such as digital finance adoption under "Digital Uzbekistan 2030" and export diversification targets—we deliver measurable value beyond standard analytics. Our approach transcends generic consulting: we are building a Tashkent-based Financial Analyst ecosystem that directly supports Uzbekistan's vision for sustainable, data-driven growth. This isn't merely a service offering; it's a strategic partnership in Uzbekistan's financial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Services in Tashkent, Uzbekistan</dc:title>
  <dc:creator/>
  <dc:language>en</dc:language>
  <cp:keywords/>
  <dcterms:created xsi:type="dcterms:W3CDTF">2026-07-24T00:28:43Z</dcterms:created>
  <dcterms:modified xsi:type="dcterms:W3CDTF">2026-07-24T00:28:43Z</dcterms:modified>
</cp:coreProperties>
</file>

<file path=docProps/custom.xml><?xml version="1.0" encoding="utf-8"?>
<Properties xmlns="http://schemas.openxmlformats.org/officeDocument/2006/custom-properties" xmlns:vt="http://schemas.openxmlformats.org/officeDocument/2006/docPropsVTypes"/>
</file>