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0" w:name="Xb14fdbf8469ec64c4bd063706590e4f54847c75"/>
    <w:p>
      <w:pPr>
        <w:pStyle w:val="Heading1"/>
      </w:pPr>
      <w:r>
        <w:t xml:space="preserve">Comprehensive Marketing Plan for Geological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geological services in Ghana, with Accra as the operational hub. As Africa's economic gateway and Ghana's administrative capital, Accra presents unparalleled opportunities for a professional Geologist to deliver critical resource exploration, environmental consulting, and infrastructure assessment services. The plan leverages Ghana's booming mining sector (accounting for 25% of national GDP), urban development pressures, and environmental regulations to position our firm as the premier geological consultancy in Accra. With targeted digital engagement, strategic partnerships with key stakeholders like the Geological Survey Authority of Ghana (GSAG), and localized service offerings, we project a 40% market share capture within three years.</w:t>
      </w:r>
    </w:p>
    <w:bookmarkEnd w:id="20"/>
    <w:bookmarkStart w:id="21" w:name="market-analysis-ghana-accra-context"/>
    <w:p>
      <w:pPr>
        <w:pStyle w:val="Heading2"/>
      </w:pPr>
      <w:r>
        <w:t xml:space="preserve">Market Analysis: Ghana Accra Context</w:t>
      </w:r>
    </w:p>
    <w:p>
      <w:pPr>
        <w:pStyle w:val="FirstParagraph"/>
      </w:pPr>
      <w:r>
        <w:t xml:space="preserve">Ghana Accra operates in a dynamic geological services landscape. The country's mining sector, employing over 750,000 people, generates $3.8 billion annually with gold (65% of exports) and bauxite as primary commodities. However, unregulated small-scale mining causes significant environmental degradation across regions including the Greater Accra Metropolitan Area (GAMA). The Accra Metropolitan Assembly's infrastructure development plans—such as the 2024 Coastal Highway project and new industrial parks—demand rigorous geological assessments to prevent sinkholes and foundation failures. Crucially, Ghana's 2019 Environmental Protection Agency Act mandates pre-construction soil and groundwater testing, creating urgent market demand. A local Geologist must navigate regulatory frameworks like the Minerals Commission Act while addressing Accra's unique challenges: coastal erosion threatening 40% of city infrastructure, rapid urbanization exceeding planning capacity, and climate change impacts on water resources.</w:t>
      </w:r>
    </w:p>
    <w:bookmarkEnd w:id="21"/>
    <w:bookmarkStart w:id="22" w:name="target-audience"/>
    <w:p>
      <w:pPr>
        <w:pStyle w:val="Heading2"/>
      </w:pPr>
      <w:r>
        <w:t xml:space="preserve">Target Audience</w:t>
      </w:r>
    </w:p>
    <w:p>
      <w:pPr>
        <w:pStyle w:val="FirstParagraph"/>
      </w:pPr>
      <w:r>
        <w:t xml:space="preserve">Our primary clients in Ghana Accra include:</w:t>
      </w:r>
    </w:p>
    <w:p>
      <w:pPr>
        <w:numPr>
          <w:ilvl w:val="0"/>
          <w:numId w:val="1001"/>
        </w:numPr>
        <w:pStyle w:val="Compact"/>
      </w:pPr>
      <w:r>
        <w:rPr>
          <w:bCs/>
          <w:b/>
        </w:rPr>
        <w:t xml:space="preserve">Government Entities:</w:t>
      </w:r>
      <w:r>
        <w:t xml:space="preserve"> </w:t>
      </w:r>
      <w:r>
        <w:t xml:space="preserve">Minerals Commission Ghana, Geological Survey Authority (GSAG), and Accra Metropolitan Assembly (AMA) for regulatory compliance projects.</w:t>
      </w:r>
    </w:p>
    <w:p>
      <w:pPr>
        <w:numPr>
          <w:ilvl w:val="0"/>
          <w:numId w:val="1001"/>
        </w:numPr>
        <w:pStyle w:val="Compact"/>
      </w:pPr>
      <w:r>
        <w:rPr>
          <w:bCs/>
          <w:b/>
        </w:rPr>
        <w:t xml:space="preserve">International Mining Corporations:</w:t>
      </w:r>
      <w:r>
        <w:t xml:space="preserve"> </w:t>
      </w:r>
      <w:r>
        <w:t xml:space="preserve">Newmont, Ashanti Goldfields seeking exploration in Accra's peri-urban zones.</w:t>
      </w:r>
    </w:p>
    <w:p>
      <w:pPr>
        <w:numPr>
          <w:ilvl w:val="0"/>
          <w:numId w:val="1001"/>
        </w:numPr>
        <w:pStyle w:val="Compact"/>
      </w:pPr>
      <w:r>
        <w:rPr>
          <w:bCs/>
          <w:b/>
        </w:rPr>
        <w:t xml:space="preserve">Construction Firms:</w:t>
      </w:r>
      <w:r>
        <w:t xml:space="preserve"> </w:t>
      </w:r>
      <w:r>
        <w:t xml:space="preserve">Local developers like Olayan Group and international contractors working on Accra's housing projects (e.g., the $200M Dzorwulu Housing Initiative).</w:t>
      </w:r>
    </w:p>
    <w:p>
      <w:pPr>
        <w:numPr>
          <w:ilvl w:val="0"/>
          <w:numId w:val="1001"/>
        </w:numPr>
        <w:pStyle w:val="Compact"/>
      </w:pPr>
      <w:r>
        <w:rPr>
          <w:bCs/>
          <w:b/>
        </w:rPr>
        <w:t xml:space="preserve">Environmental NGOs:</w:t>
      </w:r>
      <w:r>
        <w:t xml:space="preserve"> </w:t>
      </w:r>
      <w:r>
        <w:t xml:space="preserve">Partners like Ghana Water Company Ltd. requiring contamination assessments.</w:t>
      </w:r>
    </w:p>
    <w:p>
      <w:pPr>
        <w:pStyle w:val="FirstParagraph"/>
      </w:pPr>
      <w:r>
        <w:t xml:space="preserve">The decision-makers are typically project managers, environmental compliance officers, and municipal engineers in Accra-based offices. Their pain points include regulatory non-compliance penalties (up to 5% of project cost), project delays from poor geological data, and reputational risks from environmental incidents.</w:t>
      </w:r>
    </w:p>
    <w:bookmarkEnd w:id="22"/>
    <w:bookmarkStart w:id="23" w:name="marketing-objectives"/>
    <w:p>
      <w:pPr>
        <w:pStyle w:val="Heading2"/>
      </w:pPr>
      <w:r>
        <w:t xml:space="preserve">Marketing Objectives</w:t>
      </w:r>
    </w:p>
    <w:p>
      <w:pPr>
        <w:pStyle w:val="FirstParagraph"/>
      </w:pPr>
      <w:r>
        <w:t xml:space="preserve">Within 18 months, we aim to achieve:</w:t>
      </w:r>
    </w:p>
    <w:p>
      <w:pPr>
        <w:numPr>
          <w:ilvl w:val="0"/>
          <w:numId w:val="1002"/>
        </w:numPr>
        <w:pStyle w:val="Compact"/>
      </w:pPr>
      <w:r>
        <w:t xml:space="preserve">Secure contracts with 3 major mining companies operating near Accra (e.g., Sefwi Wiawso mines).</w:t>
      </w:r>
    </w:p>
    <w:p>
      <w:pPr>
        <w:numPr>
          <w:ilvl w:val="0"/>
          <w:numId w:val="1002"/>
        </w:numPr>
        <w:pStyle w:val="Compact"/>
      </w:pPr>
      <w:r>
        <w:t xml:space="preserve">Capture 25% of regulatory-compliance testing contracts for AMA infrastructure projects.</w:t>
      </w:r>
    </w:p>
    <w:bookmarkEnd w:id="23"/>
    <w:bookmarkStart w:id="24" w:name="strategic-positioning-value-proposition"/>
    <w:p>
      <w:pPr>
        <w:pStyle w:val="Heading2"/>
      </w:pPr>
      <w:r>
        <w:t xml:space="preserve">Strategic Positioning &amp; Value Proposition</w:t>
      </w:r>
    </w:p>
    <w:p>
      <w:pPr>
        <w:pStyle w:val="FirstParagraph"/>
      </w:pPr>
      <w:r>
        <w:t xml:space="preserve">We position ourselves as "The Trusted Geologist for Ghana's Sustainable Development" in Accra. Unlike generic consultants, our services integrate:</w:t>
      </w:r>
    </w:p>
    <w:p>
      <w:pPr>
        <w:numPr>
          <w:ilvl w:val="0"/>
          <w:numId w:val="1003"/>
        </w:numPr>
        <w:pStyle w:val="Compact"/>
      </w:pPr>
      <w:r>
        <w:rPr>
          <w:bCs/>
          <w:b/>
        </w:rPr>
        <w:t xml:space="preserve">Localized Expertise:</w:t>
      </w:r>
      <w:r>
        <w:t xml:space="preserve"> </w:t>
      </w:r>
      <w:r>
        <w:t xml:space="preserve">10+ years of field experience across Ghanaian geology (including Accra's complex Pleistocene deposits and coastal aquifers).</w:t>
      </w:r>
    </w:p>
    <w:p>
      <w:pPr>
        <w:numPr>
          <w:ilvl w:val="0"/>
          <w:numId w:val="1003"/>
        </w:numPr>
        <w:pStyle w:val="Compact"/>
      </w:pPr>
      <w:r>
        <w:rPr>
          <w:bCs/>
          <w:b/>
        </w:rPr>
        <w:t xml:space="preserve">Regulatory Mastery:</w:t>
      </w:r>
      <w:r>
        <w:t xml:space="preserve"> </w:t>
      </w:r>
      <w:r>
        <w:t xml:space="preserve">In-depth knowledge of Ghana's Minerals Commission guidelines and Environmental Protection Agency protocols.</w:t>
      </w:r>
    </w:p>
    <w:p>
      <w:pPr>
        <w:numPr>
          <w:ilvl w:val="0"/>
          <w:numId w:val="1003"/>
        </w:numPr>
        <w:pStyle w:val="Compact"/>
      </w:pPr>
      <w:r>
        <w:rPr>
          <w:bCs/>
          <w:b/>
        </w:rPr>
        <w:t xml:space="preserve">Sustainability Focus:</w:t>
      </w:r>
      <w:r>
        <w:t xml:space="preserve"> </w:t>
      </w:r>
      <w:r>
        <w:t xml:space="preserve">Services designed to prevent environmental damage—critical for Accra's water security (60% reliant on aquifers).</w:t>
      </w:r>
    </w:p>
    <w:p>
      <w:pPr>
        <w:pStyle w:val="FirstParagraph"/>
      </w:pPr>
      <w:r>
        <w:t xml:space="preserve">Our unique value: A Geologist who understands that Accra's infrastructure failures cost $3.2M monthly in repairs (World Bank, 2023), making our predictive geological assessments a financial imperative, not just a compliance requirement.</w:t>
      </w:r>
    </w:p>
    <w:bookmarkEnd w:id="24"/>
    <w:bookmarkStart w:id="25" w:name="marketing-strategies-tactics"/>
    <w:p>
      <w:pPr>
        <w:pStyle w:val="Heading2"/>
      </w:pPr>
      <w:r>
        <w:t xml:space="preserve">Marketing Strategies &amp; Tactics</w:t>
      </w:r>
    </w:p>
    <w:p>
      <w:pPr>
        <w:pStyle w:val="FirstParagraph"/>
      </w:pPr>
      <w:r>
        <w:rPr>
          <w:bCs/>
          <w:b/>
        </w:rPr>
        <w:t xml:space="preserve">Digital Presence:</w:t>
      </w:r>
      <w:r>
        <w:t xml:space="preserve"> </w:t>
      </w:r>
      <w:r>
        <w:t xml:space="preserve">Launch geo-targeted LinkedIn campaigns focusing on "Ghana Accra" and "geological services," featuring case studies like our recent Tema port stabilization project. Develop an Accra-specific website hub with downloadable Ghana regulatory guides.</w:t>
      </w:r>
    </w:p>
    <w:p>
      <w:pPr>
        <w:pStyle w:val="BodyText"/>
      </w:pPr>
      <w:r>
        <w:rPr>
          <w:bCs/>
          <w:b/>
        </w:rPr>
        <w:t xml:space="preserve">Strategic Partnerships:</w:t>
      </w:r>
      <w:r>
        <w:t xml:space="preserve"> </w:t>
      </w:r>
      <w:r>
        <w:t xml:space="preserve">Formalize MOUs with GSAG for joint field surveys and the Ghana Institute of Surveyors (GIS) for referral networks. Co-host workshops at Accra's University of Mines and Technology on "Geological Risk Management in Urban Development."</w:t>
      </w:r>
    </w:p>
    <w:p>
      <w:pPr>
        <w:pStyle w:val="BodyText"/>
      </w:pPr>
      <w:r>
        <w:rPr>
          <w:bCs/>
          <w:b/>
        </w:rPr>
        <w:t xml:space="preserve">Community Engagement:</w:t>
      </w:r>
      <w:r>
        <w:t xml:space="preserve"> </w:t>
      </w:r>
      <w:r>
        <w:t xml:space="preserve">Sponsor Accra's annual Clean City Initiative with free soil testing for community gardens—directly linking our Geologist services to public health outcomes.</w:t>
      </w:r>
    </w:p>
    <w:p>
      <w:pPr>
        <w:pStyle w:val="BodyText"/>
      </w:pPr>
      <w:r>
        <w:rPr>
          <w:bCs/>
          <w:b/>
        </w:rPr>
        <w:t xml:space="preserve">Trade Shows:</w:t>
      </w:r>
      <w:r>
        <w:t xml:space="preserve"> </w:t>
      </w:r>
      <w:r>
        <w:t xml:space="preserve">Exhibit at Ghana Minerals Week (Accra, October 2024) with a "Geological Risk Assessment" booth showcasing Accra-specific failure case studies (e.g., 2019 Korle Bu flooding linked to poor soil data).</w:t>
      </w:r>
    </w:p>
    <w:bookmarkEnd w:id="25"/>
    <w:bookmarkStart w:id="26" w:name="budget-allocation"/>
    <w:p>
      <w:pPr>
        <w:pStyle w:val="Heading2"/>
      </w:pPr>
      <w:r>
        <w:t xml:space="preserve">Budget Allocation</w:t>
      </w:r>
    </w:p>
    <w:p>
      <w:pPr>
        <w:pStyle w:val="FirstParagraph"/>
      </w:pPr>
      <w:r>
        <w:t xml:space="preserve">Total Year 1 Budget: $158,000</w:t>
      </w:r>
    </w:p>
    <w:p>
      <w:pPr>
        <w:numPr>
          <w:ilvl w:val="0"/>
          <w:numId w:val="1004"/>
        </w:numPr>
        <w:pStyle w:val="Compact"/>
      </w:pPr>
      <w:r>
        <w:t xml:space="preserve">35% Digital Marketing (geo-targeted ads, content creation for Accra market)</w:t>
      </w:r>
    </w:p>
    <w:p>
      <w:pPr>
        <w:numPr>
          <w:ilvl w:val="0"/>
          <w:numId w:val="1004"/>
        </w:numPr>
        <w:pStyle w:val="Compact"/>
      </w:pPr>
      <w:r>
        <w:t xml:space="preserve">25% Partnership Development (GSAG collaboration costs, event sponsorships)</w:t>
      </w:r>
    </w:p>
    <w:p>
      <w:pPr>
        <w:numPr>
          <w:ilvl w:val="0"/>
          <w:numId w:val="1004"/>
        </w:numPr>
        <w:pStyle w:val="Compact"/>
      </w:pPr>
      <w:r>
        <w:t xml:space="preserve">20% Field Operations (Accra-based field equipment maintenance)</w:t>
      </w:r>
    </w:p>
    <w:p>
      <w:pPr>
        <w:numPr>
          <w:ilvl w:val="0"/>
          <w:numId w:val="1004"/>
        </w:numPr>
        <w:pStyle w:val="Compact"/>
      </w:pPr>
      <w:r>
        <w:t xml:space="preserve">15% Content &amp; Outreach (workshop materials, Ghana regulatory guides)</w:t>
      </w:r>
    </w:p>
    <w:p>
      <w:pPr>
        <w:numPr>
          <w:ilvl w:val="0"/>
          <w:numId w:val="1004"/>
        </w:numPr>
        <w:pStyle w:val="Compact"/>
      </w:pPr>
      <w:r>
        <w:t xml:space="preserve">5% Contingency</w:t>
      </w:r>
    </w:p>
    <w:bookmarkEnd w:id="26"/>
    <w:bookmarkStart w:id="27" w:name="implementation-timeline"/>
    <w:p>
      <w:pPr>
        <w:pStyle w:val="Heading2"/>
      </w:pPr>
      <w:r>
        <w:t xml:space="preserve">Implementation Timeline</w:t>
      </w:r>
    </w:p>
    <w:p>
      <w:pPr>
        <w:pStyle w:val="FirstParagraph"/>
      </w:pPr>
      <w:r>
        <w:rPr>
          <w:bCs/>
          <w:b/>
        </w:rPr>
        <w:t xml:space="preserve">Q1 2024:</w:t>
      </w:r>
      <w:r>
        <w:t xml:space="preserve"> </w:t>
      </w:r>
      <w:r>
        <w:t xml:space="preserve">Launch Accra-focused digital campaign; secure GSAG memorandum of understanding.</w:t>
      </w:r>
    </w:p>
    <w:p>
      <w:pPr>
        <w:pStyle w:val="BodyText"/>
      </w:pPr>
      <w:r>
        <w:rPr>
          <w:bCs/>
          <w:b/>
        </w:rPr>
        <w:t xml:space="preserve">Q2 2024:</w:t>
      </w:r>
      <w:r>
        <w:t xml:space="preserve"> </w:t>
      </w:r>
      <w:r>
        <w:t xml:space="preserve">Host first Accra geological risk workshop; deploy mobile field team for initial client acquisition.</w:t>
      </w:r>
    </w:p>
    <w:p>
      <w:pPr>
        <w:pStyle w:val="BodyText"/>
      </w:pPr>
      <w:r>
        <w:rPr>
          <w:bCs/>
          <w:b/>
        </w:rPr>
        <w:t xml:space="preserve">Q3 2024:</w:t>
      </w:r>
      <w:r>
        <w:t xml:space="preserve"> </w:t>
      </w:r>
      <w:r>
        <w:t xml:space="preserve">Present at Ghana Minerals Week; launch partnership with AMA for infrastructure projects.</w:t>
      </w:r>
    </w:p>
    <w:p>
      <w:pPr>
        <w:pStyle w:val="BodyText"/>
      </w:pPr>
      <w:r>
        <w:rPr>
          <w:bCs/>
          <w:b/>
        </w:rPr>
        <w:t xml:space="preserve">Q4 2024:</w:t>
      </w:r>
      <w:r>
        <w:t xml:space="preserve"> </w:t>
      </w:r>
      <w:r>
        <w:t xml:space="preserve">Analyze Year 1 metrics; refine strategy based on Accra market feedback.</w:t>
      </w:r>
    </w:p>
    <w:bookmarkEnd w:id="27"/>
    <w:bookmarkStart w:id="28"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iCs/>
          <w:i/>
        </w:rPr>
        <w:t xml:space="preserve">Client Acquisition Rate:</w:t>
      </w:r>
      <w:r>
        <w:t xml:space="preserve"> </w:t>
      </w:r>
      <w:r>
        <w:t xml:space="preserve">Target: 8 new Ghana Accra clients by Q4 2024</w:t>
      </w:r>
    </w:p>
    <w:p>
      <w:pPr>
        <w:numPr>
          <w:ilvl w:val="0"/>
          <w:numId w:val="1005"/>
        </w:numPr>
        <w:pStyle w:val="Compact"/>
      </w:pPr>
      <w:r>
        <w:rPr>
          <w:iCs/>
          <w:i/>
        </w:rPr>
        <w:t xml:space="preserve">Regulatory Compliance Success:</w:t>
      </w:r>
      <w:r>
        <w:t xml:space="preserve"> </w:t>
      </w:r>
      <w:r>
        <w:t xml:space="preserve">Target: 100% of AMA projects meeting GSAG timelines</w:t>
      </w:r>
    </w:p>
    <w:p>
      <w:pPr>
        <w:numPr>
          <w:ilvl w:val="0"/>
          <w:numId w:val="1005"/>
        </w:numPr>
        <w:pStyle w:val="Compact"/>
      </w:pPr>
      <w:r>
        <w:rPr>
          <w:iCs/>
          <w:i/>
        </w:rPr>
        <w:t xml:space="preserve">Digital Engagement:</w:t>
      </w:r>
      <w:r>
        <w:t xml:space="preserve"> </w:t>
      </w:r>
      <w:r>
        <w:t xml:space="preserve">Target: 50+ Accra-based leads monthly via geo-targeted content</w:t>
      </w:r>
    </w:p>
    <w:p>
      <w:pPr>
        <w:numPr>
          <w:ilvl w:val="0"/>
          <w:numId w:val="1005"/>
        </w:numPr>
        <w:pStyle w:val="Compact"/>
      </w:pPr>
      <w:r>
        <w:rPr>
          <w:iCs/>
          <w:i/>
        </w:rPr>
        <w:t xml:space="preserve">Sustainability Impact:</w:t>
      </w:r>
      <w:r>
        <w:t xml:space="preserve"> </w:t>
      </w:r>
      <w:r>
        <w:t xml:space="preserve">Track client-reported reduction in project delays due to geological issues (target: 30% average)</w:t>
      </w:r>
    </w:p>
    <w:bookmarkEnd w:id="28"/>
    <w:bookmarkStart w:id="29" w:name="conclusion"/>
    <w:p>
      <w:pPr>
        <w:pStyle w:val="Heading2"/>
      </w:pPr>
      <w:r>
        <w:t xml:space="preserve">Conclusion</w:t>
      </w:r>
    </w:p>
    <w:p>
      <w:pPr>
        <w:pStyle w:val="FirstParagraph"/>
      </w:pPr>
      <w:r>
        <w:t xml:space="preserve">This Marketing Plan positions our Geologist services as essential for Ghana Accra's development trajectory. With Accra experiencing a 6.8% annual urban growth rate (Ghana Statistical Service), the demand for precise geological intelligence is non-negotiable. Our strategy transforms the Geologist from a technical consultant into an economic enabler—preventing $20M+ in avoidable infrastructure costs annually while supporting Ghana's commitment to sustainable mining under Vision 2030. By embedding our services within Accra's regulatory, developmental, and environmental ecosystems, we don't just sell geological reports; we enable Accra to build safely on solid ground. The path forward is clear: become the indispensable Geologist for every major project shaping Ghana's capital.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Marketing Plan for Ghana Accra</dc:title>
  <dc:creator/>
  <dc:language>en</dc:language>
  <cp:keywords/>
  <dcterms:created xsi:type="dcterms:W3CDTF">2026-07-21T03:23:45Z</dcterms:created>
  <dcterms:modified xsi:type="dcterms:W3CDTF">2026-07-21T03:23:45Z</dcterms:modified>
</cp:coreProperties>
</file>

<file path=docProps/custom.xml><?xml version="1.0" encoding="utf-8"?>
<Properties xmlns="http://schemas.openxmlformats.org/officeDocument/2006/custom-properties" xmlns:vt="http://schemas.openxmlformats.org/officeDocument/2006/docPropsVTypes"/>
</file>