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aabbbb19ff08abc978ddb818a582bd4e6275e50"/>
    <w:p>
      <w:pPr>
        <w:pStyle w:val="Heading1"/>
      </w:pPr>
      <w:r>
        <w:t xml:space="preserve">Comprehensive Marketing Plan for Professional Geologists in Kuala Lumpur, Malaysia</w:t>
      </w:r>
    </w:p>
    <w:bookmarkStart w:id="20" w:name="Xa4c8afc5b37e7dc21e3993caf8288f6c994511d"/>
    <w:p>
      <w:pPr>
        <w:pStyle w:val="Heading2"/>
      </w:pPr>
      <w:r>
        <w:t xml:space="preserve">Executive Summary: Positioning Geology as Central to Kuala Lumpur's Growth</w:t>
      </w:r>
    </w:p>
    <w:p>
      <w:pPr>
        <w:pStyle w:val="FirstParagraph"/>
      </w:pPr>
      <w:r>
        <w:t xml:space="preserve">This Marketing Plan outlines a targeted strategy to establish geologists as indispensable strategic assets within the economic and developmental landscape of Malaysia Kuala Lumpur. As the nation's political, financial, and administrative hub, Kuala Lumpur drives Malaysia's infrastructure expansion, resource management, and environmental sustainability initiatives. This plan addresses the acute demand for specialized geological expertise in KL's dynamic market—where urbanization accelerates at 3.5% annually (Department of Statistics Malaysia), mineral exploration intensifies across the Klang Valley, and climate resilience becomes paramount. The core objective is to position certified geologists as critical partners for government agencies, multinational corporations (MNCs), and local enterprises operating in Malaysia Kuala Lumpur, ensuring their services are recognized as non-negotiable for project success.</w:t>
      </w:r>
    </w:p>
    <w:bookmarkEnd w:id="20"/>
    <w:bookmarkStart w:id="21" w:name="X840e2684eb8c2d8bedc2fbc97636a5d361227df"/>
    <w:p>
      <w:pPr>
        <w:pStyle w:val="Heading2"/>
      </w:pPr>
      <w:r>
        <w:t xml:space="preserve">Market Analysis: Geology Demand Dynamics in Kuala Lumpur</w:t>
      </w:r>
    </w:p>
    <w:p>
      <w:pPr>
        <w:pStyle w:val="FirstParagraph"/>
      </w:pPr>
      <w:r>
        <w:t xml:space="preserve">Kuala Lumpur's unique geospatial challenges create a fertile ground for geologist services. The city sits atop complex sedimentary basins with active fault lines, necessitating rigorous site investigations for high-rises, metro systems (e.g., KLIA2 expansion), and utility networks. Recent PETRONAS-led hydrocarbon exploration in the Malay Peninsula’s offshore zones has spurred demand for geoscientists specializing in subsurface analysis—directly benefiting firms headquartered or operating from Kuala Lumpur. Furthermore, Malaysia's 2023 Mineral Policy prioritizes sustainable mining, mandating thorough geological surveys for all new projects within the Klang Valley and adjacent regions. This regulatory shift has increased demand for geologists by 42% year-on-year in Kuala Lumpur (MIDA Report 2023). Key sectors driving this demand include:</w:t>
      </w:r>
    </w:p>
    <w:p>
      <w:pPr>
        <w:numPr>
          <w:ilvl w:val="0"/>
          <w:numId w:val="1001"/>
        </w:numPr>
        <w:pStyle w:val="Compact"/>
      </w:pPr>
      <w:r>
        <w:rPr>
          <w:bCs/>
          <w:b/>
        </w:rPr>
        <w:t xml:space="preserve">Urban Infrastructure:</w:t>
      </w:r>
      <w:r>
        <w:t xml:space="preserve"> </w:t>
      </w:r>
      <w:r>
        <w:t xml:space="preserve">KL's RM15 billion Smart City initiative requires geotechnical surveys for all new developments.</w:t>
      </w:r>
    </w:p>
    <w:p>
      <w:pPr>
        <w:numPr>
          <w:ilvl w:val="0"/>
          <w:numId w:val="1001"/>
        </w:numPr>
        <w:pStyle w:val="Compact"/>
      </w:pPr>
      <w:r>
        <w:rPr>
          <w:bCs/>
          <w:b/>
        </w:rPr>
        <w:t xml:space="preserve">Resource Exploration:</w:t>
      </w:r>
      <w:r>
        <w:t xml:space="preserve"> </w:t>
      </w:r>
      <w:r>
        <w:t xml:space="preserve">MNCs like BHP and Rio Tinto are conducting rare earth element (REE) prospecting near Kuala Lumpur, seeking local geological expertise.</w:t>
      </w:r>
    </w:p>
    <w:p>
      <w:pPr>
        <w:numPr>
          <w:ilvl w:val="0"/>
          <w:numId w:val="1001"/>
        </w:numPr>
        <w:pStyle w:val="Compact"/>
      </w:pPr>
      <w:r>
        <w:rPr>
          <w:bCs/>
          <w:b/>
        </w:rPr>
        <w:t xml:space="preserve">Environmental Compliance:</w:t>
      </w:r>
      <w:r>
        <w:t xml:space="preserve"> </w:t>
      </w:r>
      <w:r>
        <w:t xml:space="preserve">New EIA regulations under the Environmental Quality Act 1974 demand geologist input for all major projects.</w:t>
      </w:r>
    </w:p>
    <w:bookmarkEnd w:id="21"/>
    <w:bookmarkStart w:id="22" w:name="X677dc5f8ec32cae7a35d276e1ec766d58ab9c03"/>
    <w:p>
      <w:pPr>
        <w:pStyle w:val="Heading2"/>
      </w:pPr>
      <w:r>
        <w:t xml:space="preserve">Target Audience: Strategic Segmentation in Malaysia Kuala Lumpur</w:t>
      </w:r>
    </w:p>
    <w:p>
      <w:pPr>
        <w:pStyle w:val="FirstParagraph"/>
      </w:pPr>
      <w:r>
        <w:t xml:space="preserve">This plan focuses on three high-value segments operating within Malaysia Kuala Lumpur:</w:t>
      </w:r>
    </w:p>
    <w:p>
      <w:pPr>
        <w:numPr>
          <w:ilvl w:val="0"/>
          <w:numId w:val="1002"/>
        </w:numPr>
        <w:pStyle w:val="Compact"/>
      </w:pPr>
      <w:r>
        <w:rPr>
          <w:bCs/>
          <w:b/>
        </w:rPr>
        <w:t xml:space="preserve">Government Entities:</w:t>
      </w:r>
      <w:r>
        <w:t xml:space="preserve"> </w:t>
      </w:r>
      <w:r>
        <w:t xml:space="preserve">PETRONAS, Department of Minerals (Jabatan Mineral dan Geosains), and KL City Hall (DBKL) require geologists for land-use planning and disaster risk mitigation. In 2023, DBKL allocated RM80 million specifically for geological hazard mapping across flood-prone areas of Kuala Lumpur.</w:t>
      </w:r>
    </w:p>
    <w:p>
      <w:pPr>
        <w:numPr>
          <w:ilvl w:val="0"/>
          <w:numId w:val="1002"/>
        </w:numPr>
        <w:pStyle w:val="Compact"/>
      </w:pPr>
      <w:r>
        <w:rPr>
          <w:bCs/>
          <w:b/>
        </w:rPr>
        <w:t xml:space="preserve">Engineering &amp; Construction Firms:</w:t>
      </w:r>
      <w:r>
        <w:t xml:space="preserve"> </w:t>
      </w:r>
      <w:r>
        <w:t xml:space="preserve">Major players like Sime Darby Property and Gamuda require geologists for foundation design and earthworks in KL's high-density zones. Over 65% of KL construction projects now mandate pre-construction geological surveys.</w:t>
      </w:r>
    </w:p>
    <w:p>
      <w:pPr>
        <w:numPr>
          <w:ilvl w:val="0"/>
          <w:numId w:val="1002"/>
        </w:numPr>
        <w:pStyle w:val="Compact"/>
      </w:pPr>
      <w:r>
        <w:rPr>
          <w:bCs/>
          <w:b/>
        </w:rPr>
        <w:t xml:space="preserve">Mining &amp; Resources Companies:</w:t>
      </w:r>
      <w:r>
        <w:t xml:space="preserve"> </w:t>
      </w:r>
      <w:r>
        <w:t xml:space="preserve">With Malaysia’s mineral output valued at RM1.2 billion (2023), firms operating near Kuala Lumpur need geologists for exploration, feasibility studies, and environmental monitoring under the new Mineral Act 2019.</w:t>
      </w:r>
    </w:p>
    <w:bookmarkEnd w:id="22"/>
    <w:bookmarkStart w:id="23" w:name="X1f58d43b73e66bcd1ce387084bea6e193373046"/>
    <w:p>
      <w:pPr>
        <w:pStyle w:val="Heading2"/>
      </w:pPr>
      <w:r>
        <w:t xml:space="preserve">Unique Value Proposition: Why Geologists in Kuala Lumpur?*</w:t>
      </w:r>
    </w:p>
    <w:p>
      <w:pPr>
        <w:pStyle w:val="FirstParagraph"/>
      </w:pPr>
      <w:r>
        <w:t xml:space="preserve">We position certified geologists as the</w:t>
      </w:r>
      <w:r>
        <w:t xml:space="preserve"> </w:t>
      </w:r>
      <w:r>
        <w:rPr>
          <w:iCs/>
          <w:i/>
        </w:rPr>
        <w:t xml:space="preserve">only</w:t>
      </w:r>
      <w:r>
        <w:t xml:space="preserve"> </w:t>
      </w:r>
      <w:r>
        <w:t xml:space="preserve">professionals capable of delivering site-specific, climate-resilient geological solutions for Malaysia's urban and resource sectors. Unlike generic consultants, our KL-based team possesses:</w:t>
      </w:r>
    </w:p>
    <w:p>
      <w:pPr>
        <w:numPr>
          <w:ilvl w:val="0"/>
          <w:numId w:val="1003"/>
        </w:numPr>
        <w:pStyle w:val="Compact"/>
      </w:pPr>
      <w:r>
        <w:rPr>
          <w:bCs/>
          <w:b/>
        </w:rPr>
        <w:t xml:space="preserve">Hyper-Local Knowledge:</w:t>
      </w:r>
      <w:r>
        <w:t xml:space="preserve"> </w:t>
      </w:r>
      <w:r>
        <w:t xml:space="preserve">Mastery of KL's complex alluvial deposits (e.g., Klang River basin geology) and fault systems.</w:t>
      </w:r>
    </w:p>
    <w:p>
      <w:pPr>
        <w:numPr>
          <w:ilvl w:val="0"/>
          <w:numId w:val="1003"/>
        </w:numPr>
        <w:pStyle w:val="Compact"/>
      </w:pPr>
      <w:r>
        <w:rPr>
          <w:bCs/>
          <w:b/>
        </w:rPr>
        <w:t xml:space="preserve">Regulatory Fluency:</w:t>
      </w:r>
      <w:r>
        <w:t xml:space="preserve"> </w:t>
      </w:r>
      <w:r>
        <w:t xml:space="preserve">Expertise navigating Malaysia’s evolving EIA guidelines and PETRONAS technical standards.</w:t>
      </w:r>
    </w:p>
    <w:p>
      <w:pPr>
        <w:numPr>
          <w:ilvl w:val="0"/>
          <w:numId w:val="1003"/>
        </w:numPr>
        <w:pStyle w:val="Compact"/>
      </w:pPr>
      <w:r>
        <w:rPr>
          <w:bCs/>
          <w:b/>
        </w:rPr>
        <w:t xml:space="preserve">Technology Integration:</w:t>
      </w:r>
      <w:r>
        <w:t xml:space="preserve"> </w:t>
      </w:r>
      <w:r>
        <w:t xml:space="preserve">Utilizing LiDAR mapping and AI-driven subsurface modeling tailored for KL's dense urban environment.</w:t>
      </w:r>
    </w:p>
    <w:bookmarkEnd w:id="23"/>
    <w:bookmarkStart w:id="24" w:name="X9d2094281efc9b52aa06913be1801534ca87022"/>
    <w:p>
      <w:pPr>
        <w:pStyle w:val="Heading2"/>
      </w:pPr>
      <w:r>
        <w:t xml:space="preserve">Marketing Tactics: Driving Engagement in Kuala Lumpur</w:t>
      </w:r>
    </w:p>
    <w:p>
      <w:pPr>
        <w:pStyle w:val="FirstParagraph"/>
      </w:pPr>
      <w:r>
        <w:t xml:space="preserve">To penetrate the Malaysia Kuala Lumpur market, we deploy a multi-channel strategy:</w:t>
      </w:r>
    </w:p>
    <w:p>
      <w:pPr>
        <w:numPr>
          <w:ilvl w:val="0"/>
          <w:numId w:val="1004"/>
        </w:numPr>
        <w:pStyle w:val="Compact"/>
      </w:pPr>
      <w:r>
        <w:rPr>
          <w:bCs/>
          <w:b/>
        </w:rPr>
        <w:t xml:space="preserve">Industry Partnerships:</w:t>
      </w:r>
      <w:r>
        <w:t xml:space="preserve"> </w:t>
      </w:r>
      <w:r>
        <w:t xml:space="preserve">Co-hosting technical workshops with PETRONAS and MIDA at KL’s International Trade Centre (ITC), focusing on "Geological Risk Management for KL Metro Projects."</w:t>
      </w:r>
    </w:p>
    <w:p>
      <w:pPr>
        <w:numPr>
          <w:ilvl w:val="0"/>
          <w:numId w:val="1004"/>
        </w:numPr>
        <w:pStyle w:val="Compact"/>
      </w:pPr>
      <w:r>
        <w:rPr>
          <w:bCs/>
          <w:b/>
        </w:rPr>
        <w:t xml:space="preserve">Digital Targeting:</w:t>
      </w:r>
      <w:r>
        <w:t xml:space="preserve"> </w:t>
      </w:r>
      <w:r>
        <w:t xml:space="preserve">LinkedIn campaigns targeting engineering directors in KL-based firms, featuring case studies like our role in mitigating landslide risks during the Bandar Malaysia redevelopment.</w:t>
      </w:r>
    </w:p>
    <w:p>
      <w:pPr>
        <w:numPr>
          <w:ilvl w:val="0"/>
          <w:numId w:val="1004"/>
        </w:numPr>
        <w:pStyle w:val="Compact"/>
      </w:pPr>
      <w:r>
        <w:rPr>
          <w:bCs/>
          <w:b/>
        </w:rPr>
        <w:t xml:space="preserve">Content Authority:</w:t>
      </w:r>
      <w:r>
        <w:t xml:space="preserve"> </w:t>
      </w:r>
      <w:r>
        <w:t xml:space="preserve">Publishing quarterly "KL Geological Risk Alerts" via email newsletters, highlighting localized hazards (e.g., "Sediment Stability Challenges at Taman Jaya") distributed to DBKL and construction firms.</w:t>
      </w:r>
    </w:p>
    <w:p>
      <w:pPr>
        <w:numPr>
          <w:ilvl w:val="0"/>
          <w:numId w:val="1004"/>
        </w:numPr>
        <w:pStyle w:val="Compact"/>
      </w:pPr>
      <w:r>
        <w:rPr>
          <w:bCs/>
          <w:b/>
        </w:rPr>
        <w:t xml:space="preserve">Trade Show Presence:</w:t>
      </w:r>
      <w:r>
        <w:t xml:space="preserve"> </w:t>
      </w:r>
      <w:r>
        <w:t xml:space="preserve">Securing a booth at the annual Kuala Lumpur International Construction Expo (KLICE), with live demonstrations of rapid geological assessment tools for urban sites.</w:t>
      </w:r>
    </w:p>
    <w:bookmarkEnd w:id="24"/>
    <w:bookmarkStart w:id="25" w:name="X5756d2940e1a732deb2363f3e989038967fb8aa"/>
    <w:p>
      <w:pPr>
        <w:pStyle w:val="Heading2"/>
      </w:pPr>
      <w:r>
        <w:t xml:space="preserve">Budget Allocation: Focused Investment in Malaysia Kuala Lumpur</w:t>
      </w:r>
    </w:p>
    <w:p>
      <w:pPr>
        <w:pStyle w:val="FirstParagraph"/>
      </w:pPr>
      <w:r>
        <w:t xml:space="preserve">For the 12-month plan, RM350,000 is allocated specifically to Kuala Lumpur initiatives:</w:t>
      </w:r>
    </w:p>
    <w:p>
      <w:pPr>
        <w:numPr>
          <w:ilvl w:val="0"/>
          <w:numId w:val="1005"/>
        </w:numPr>
        <w:pStyle w:val="Compact"/>
      </w:pPr>
      <w:r>
        <w:t xml:space="preserve">45%: Event marketing (KLICE booth, workshops at MIDA HQ)</w:t>
      </w:r>
    </w:p>
    <w:p>
      <w:pPr>
        <w:numPr>
          <w:ilvl w:val="0"/>
          <w:numId w:val="1005"/>
        </w:numPr>
        <w:pStyle w:val="Compact"/>
      </w:pPr>
      <w:r>
        <w:t xml:space="preserve">30%: Digital campaigns targeting KL business networks</w:t>
      </w:r>
    </w:p>
    <w:p>
      <w:pPr>
        <w:numPr>
          <w:ilvl w:val="0"/>
          <w:numId w:val="1005"/>
        </w:numPr>
        <w:pStyle w:val="Compact"/>
      </w:pPr>
      <w:r>
        <w:t xml:space="preserve">15%: Localized content development (case studies, risk alerts)</w:t>
      </w:r>
    </w:p>
    <w:p>
      <w:pPr>
        <w:numPr>
          <w:ilvl w:val="0"/>
          <w:numId w:val="1005"/>
        </w:numPr>
        <w:pStyle w:val="Compact"/>
      </w:pPr>
      <w:r>
        <w:t xml:space="preserve">10%: Partnership incentives for PETRONAS/DBKL collaborations</w:t>
      </w:r>
    </w:p>
    <w:bookmarkEnd w:id="25"/>
    <w:bookmarkStart w:id="26" w:name="X0eeee9374b918407dc47bd2632c8b9734fdbde9"/>
    <w:p>
      <w:pPr>
        <w:pStyle w:val="Heading2"/>
      </w:pPr>
      <w:r>
        <w:t xml:space="preserve">KPIs &amp; Success Metrics for Kuala Lumpur Focus</w:t>
      </w:r>
    </w:p>
    <w:p>
      <w:pPr>
        <w:pStyle w:val="FirstParagraph"/>
      </w:pPr>
      <w:r>
        <w:t xml:space="preserve">Measuring success within Malaysia Kuala Lumpur through:</w:t>
      </w:r>
    </w:p>
    <w:p>
      <w:pPr>
        <w:numPr>
          <w:ilvl w:val="0"/>
          <w:numId w:val="1006"/>
        </w:numPr>
        <w:pStyle w:val="Compact"/>
      </w:pPr>
      <w:r>
        <w:rPr>
          <w:bCs/>
          <w:b/>
        </w:rPr>
        <w:t xml:space="preserve">Lead Generation:</w:t>
      </w:r>
      <w:r>
        <w:t xml:space="preserve"> </w:t>
      </w:r>
      <w:r>
        <w:t xml:space="preserve">120 qualified leads from KL-based firms (target: 35% conversion to proposals).</w:t>
      </w:r>
    </w:p>
    <w:p>
      <w:pPr>
        <w:numPr>
          <w:ilvl w:val="0"/>
          <w:numId w:val="1006"/>
        </w:numPr>
        <w:pStyle w:val="Compact"/>
      </w:pPr>
      <w:r>
        <w:rPr>
          <w:bCs/>
          <w:b/>
        </w:rPr>
        <w:t xml:space="preserve">Credibility Metrics:</w:t>
      </w:r>
      <w:r>
        <w:t xml:space="preserve"> </w:t>
      </w:r>
      <w:r>
        <w:t xml:space="preserve">8+ joint publications with PETRONAS/MIDA by Q4, enhancing local trust.</w:t>
      </w:r>
    </w:p>
    <w:p>
      <w:pPr>
        <w:numPr>
          <w:ilvl w:val="0"/>
          <w:numId w:val="1006"/>
        </w:numPr>
        <w:pStyle w:val="Compact"/>
      </w:pPr>
      <w:r>
        <w:rPr>
          <w:bCs/>
          <w:b/>
        </w:rPr>
        <w:t xml:space="preserve">Project Pipeline:</w:t>
      </w:r>
      <w:r>
        <w:t xml:space="preserve"> </w:t>
      </w:r>
      <w:r>
        <w:t xml:space="preserve">Securing 15 new contracts from KL-based clients within Year 1 (representing RM2.1M revenue).</w:t>
      </w:r>
    </w:p>
    <w:bookmarkEnd w:id="26"/>
    <w:bookmarkStart w:id="27" w:name="Xc8161178354fbe72be4412a63def04281c9707b"/>
    <w:p>
      <w:pPr>
        <w:pStyle w:val="Heading2"/>
      </w:pPr>
      <w:r>
        <w:t xml:space="preserve">Conclusion: Geologists as Catalysts for Kuala Lumpur's Future</w:t>
      </w:r>
    </w:p>
    <w:p>
      <w:pPr>
        <w:pStyle w:val="FirstParagraph"/>
      </w:pPr>
      <w:r>
        <w:t xml:space="preserve">The geological expertise of geologists is no longer a technical footnote—it is the foundation for Kuala Lumpur’s sustainable growth. With Malaysia’s urban footprint expanding at an unprecedented pace, and climate vulnerabilities intensifying across the Klang Valley, geologists are pivotal in ensuring infrastructure longevity and environmental stewardship. This Marketing Plan positions certified geologists as strategic partners—deeply embedded in Kuala Lumpur's ecosystem—from petrochemical hubs to flood mitigation projects. By focusing exclusively on Malaysia Kuala Lumpur’s unique needs, we transform geological services from a cost center into a revenue driver for our clients, while establishing our firm as the undisputed leader in geology-driven development for this dynamic city-state. The time for specialized geological insight in Kuala Lumpur is now; the future of Malaysia's capital depends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Geologists in Kuala Lumpur, Malaysia</dc:title>
  <dc:creator/>
  <dc:language>en</dc:language>
  <cp:keywords/>
  <dcterms:created xsi:type="dcterms:W3CDTF">2026-07-23T17:20:39Z</dcterms:created>
  <dcterms:modified xsi:type="dcterms:W3CDTF">2026-07-23T17:20:39Z</dcterms:modified>
</cp:coreProperties>
</file>

<file path=docProps/custom.xml><?xml version="1.0" encoding="utf-8"?>
<Properties xmlns="http://schemas.openxmlformats.org/officeDocument/2006/custom-properties" xmlns:vt="http://schemas.openxmlformats.org/officeDocument/2006/docPropsVTypes"/>
</file>