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Russia</w:t>
      </w:r>
      <w:r>
        <w:t xml:space="preserve"> </w:t>
      </w:r>
      <w:r>
        <w:t xml:space="preserve">Moscow</w:t>
      </w:r>
    </w:p>
    <w:bookmarkStart w:id="32" w:name="X281c9666f6134a1b683b3040fca649d25f0470f"/>
    <w:p>
      <w:pPr>
        <w:pStyle w:val="Heading1"/>
      </w:pPr>
      <w:r>
        <w:t xml:space="preserve">Marketing Plan: Premium Geological Services for Russia Moscow Market</w:t>
      </w:r>
    </w:p>
    <w:bookmarkStart w:id="20" w:name="executive-summary"/>
    <w:p>
      <w:pPr>
        <w:pStyle w:val="Heading2"/>
      </w:pPr>
      <w:r>
        <w:t xml:space="preserve">Executive Summary</w:t>
      </w:r>
    </w:p>
    <w:p>
      <w:pPr>
        <w:pStyle w:val="FirstParagraph"/>
      </w:pPr>
      <w:r>
        <w:t xml:space="preserve">This comprehensive Marketing Plan outlines strategic initiatives to position our geological consultancy as the premier service provider for industrial, energy, and infrastructure sectors across Moscow and Russia. The plan targets high-value opportunities in mineral exploration, urban development risk assessment, and environmental compliance within Russia's dynamic economic landscape. With Moscow serving as the central hub for energy giants like GazpromNeft and Rosneft, this initiative leverages our specialized Geologist expertise to capture 15% market share in the city's geological services sector within three years. The strategy integrates localized market intelligence, digital outreach targeting Russian industry stakeholders, and a unique value proposition addressing Moscow's complex subsurface challenges—ensuring sustainable growth in one of Europe's most critical economic centers.</w:t>
      </w:r>
    </w:p>
    <w:bookmarkEnd w:id="20"/>
    <w:bookmarkStart w:id="21" w:name="Xe851f1cb3ad7dded7ff341e2e124d4c6fbf62be"/>
    <w:p>
      <w:pPr>
        <w:pStyle w:val="Heading2"/>
      </w:pPr>
      <w:r>
        <w:t xml:space="preserve">Situation Analysis: Russia Moscow Geological Market</w:t>
      </w:r>
    </w:p>
    <w:p>
      <w:pPr>
        <w:pStyle w:val="FirstParagraph"/>
      </w:pPr>
      <w:r>
        <w:t xml:space="preserve">The geological services sector in Russia Moscow operates within a high-stakes environment driven by oil and gas dominance, massive urban infrastructure projects, and stringent environmental regulations. According to Rosstat data, Moscow's construction sector alone represents 38% of national activity with annual investments exceeding $100 billion. However, the market remains underserved for advanced geological expertise: only 22% of Moscow-based engineering firms utilize specialized Geologist services for subsurface risk assessment, leaving significant gaps in project planning and regulatory compliance. Key challenges include Moscow's unique geology—characterized by deep alluvial deposits and historical mining activity—that requires nuanced analysis often overlooked by generic service providers. Competitors primarily offer basic soil testing, failing to deliver the integrated solutions demanded by energy and construction leaders operating in Russia's most complex urban environment. This gap presents a critical opportunity for our differentiated Geologist-led approach.</w:t>
      </w:r>
    </w:p>
    <w:bookmarkEnd w:id="21"/>
    <w:bookmarkStart w:id="22" w:name="target-audience"/>
    <w:p>
      <w:pPr>
        <w:pStyle w:val="Heading2"/>
      </w:pPr>
      <w:r>
        <w:t xml:space="preserve">Target Audience</w:t>
      </w:r>
    </w:p>
    <w:p>
      <w:pPr>
        <w:pStyle w:val="FirstParagraph"/>
      </w:pPr>
      <w:r>
        <w:t xml:space="preserve">Our primary audience comprises decision-makers at:</w:t>
      </w:r>
    </w:p>
    <w:p>
      <w:pPr>
        <w:numPr>
          <w:ilvl w:val="0"/>
          <w:numId w:val="1001"/>
        </w:numPr>
        <w:pStyle w:val="Compact"/>
      </w:pPr>
      <w:r>
        <w:rPr>
          <w:bCs/>
          <w:b/>
        </w:rPr>
        <w:t xml:space="preserve">Energy Corporations:</w:t>
      </w:r>
      <w:r>
        <w:t xml:space="preserve"> </w:t>
      </w:r>
      <w:r>
        <w:t xml:space="preserve">Gazprom, Lukoil, and Rosneft project managers requiring subsurface data for new drilling sites in Moscow Oblast and adjacent regions.</w:t>
      </w:r>
    </w:p>
    <w:p>
      <w:pPr>
        <w:numPr>
          <w:ilvl w:val="0"/>
          <w:numId w:val="1001"/>
        </w:numPr>
        <w:pStyle w:val="Compact"/>
      </w:pPr>
      <w:r>
        <w:rPr>
          <w:bCs/>
          <w:b/>
        </w:rPr>
        <w:t xml:space="preserve">Urban Developers:</w:t>
      </w:r>
      <w:r>
        <w:t xml:space="preserve"> </w:t>
      </w:r>
      <w:r>
        <w:t xml:space="preserve">Major construction firms (e.g., S.U. Group, Vinci Construction) managing Moscow's 200+ high-rise projects needing geological hazard assessments.</w:t>
      </w:r>
    </w:p>
    <w:p>
      <w:pPr>
        <w:numPr>
          <w:ilvl w:val="0"/>
          <w:numId w:val="1001"/>
        </w:numPr>
        <w:pStyle w:val="Compact"/>
      </w:pPr>
      <w:r>
        <w:rPr>
          <w:bCs/>
          <w:b/>
        </w:rPr>
        <w:t xml:space="preserve">Government Entities:</w:t>
      </w:r>
      <w:r>
        <w:t xml:space="preserve"> </w:t>
      </w:r>
      <w:r>
        <w:t xml:space="preserve">Mosgortrans and Moscow City Department of Environmental Protection demanding Geologist-certified compliance for new infrastructure initiatives.</w:t>
      </w:r>
    </w:p>
    <w:p>
      <w:pPr>
        <w:pStyle w:val="FirstParagraph"/>
      </w:pPr>
      <w:r>
        <w:t xml:space="preserve">Secondary audiences include academic institutions (Moscow State University) seeking research partnerships and environmental NGOs requiring geospatial data for urban sustainability projects. All target segments operate within Russia's tight regulatory framework where accurate geological intelligence directly impacts project timelines, budget adherence, and legal compliance—making our Geologist services non-negotiable rather than optional.</w:t>
      </w:r>
    </w:p>
    <w:bookmarkEnd w:id="22"/>
    <w:bookmarkStart w:id="23" w:name="marketing-objectives"/>
    <w:p>
      <w:pPr>
        <w:pStyle w:val="Heading2"/>
      </w:pPr>
      <w:r>
        <w:t xml:space="preserve">Marketing Objectives</w:t>
      </w:r>
    </w:p>
    <w:p>
      <w:pPr>
        <w:pStyle w:val="FirstParagraph"/>
      </w:pPr>
      <w:r>
        <w:t xml:space="preserve">Within 36 months, we aim to:</w:t>
      </w:r>
    </w:p>
    <w:p>
      <w:pPr>
        <w:pStyle w:val="BodyText"/>
      </w:pPr>
      <w:r>
        <w:t xml:space="preserve">Acquire 50+ strategic contracts with Moscow-based energy and construction firms, generating $8.5M in annual revenue.</w:t>
      </w:r>
    </w:p>
    <w:p>
      <w:pPr>
        <w:pStyle w:val="BodyText"/>
      </w:pPr>
      <w:r>
        <w:t xml:space="preserve">Achieve 40% brand recognition among target industry leaders in Russia Moscow through targeted engagement.</w:t>
      </w:r>
    </w:p>
    <w:p>
      <w:pPr>
        <w:pStyle w:val="FirstParagraph"/>
      </w:pPr>
      <w:r>
        <w:t xml:space="preserve">Establish our Geologist team as the reference standard for subsurface risk mitigation in Moscow's industrial landscape.</w:t>
      </w:r>
    </w:p>
    <w:bookmarkEnd w:id="23"/>
    <w:bookmarkStart w:id="27" w:name="marketing-strategies-tactics"/>
    <w:p>
      <w:pPr>
        <w:pStyle w:val="Heading2"/>
      </w:pPr>
      <w:r>
        <w:t xml:space="preserve">Marketing Strategies &amp; Tactics</w:t>
      </w:r>
    </w:p>
    <w:p>
      <w:pPr>
        <w:pStyle w:val="FirstParagraph"/>
      </w:pPr>
      <w:r>
        <w:t xml:space="preserve">Our strategy employs a three-pillar approach designed explicitly for Russia Moscow's market dynamics:</w:t>
      </w:r>
    </w:p>
    <w:bookmarkStart w:id="24" w:name="geo-localized-positioning"/>
    <w:p>
      <w:pPr>
        <w:pStyle w:val="Heading3"/>
      </w:pPr>
      <w:r>
        <w:t xml:space="preserve">1. Geo-Localized Positioning</w:t>
      </w:r>
    </w:p>
    <w:p>
      <w:pPr>
        <w:pStyle w:val="FirstParagraph"/>
      </w:pPr>
      <w:r>
        <w:t xml:space="preserve">We position our Geologist services as indispensable for navigating Moscow's unique geological complexities—specifically addressing the city's high water table, historical landfill zones, and seismic risks affecting 70% of urban construction sites. Marketing materials will feature case studies like "Subsurface Analysis for Metro Line 15 Expansion" (Moscow) to demonstrate proven local expertise.</w:t>
      </w:r>
    </w:p>
    <w:bookmarkEnd w:id="24"/>
    <w:bookmarkStart w:id="25" w:name="industry-specific-digital-engagement"/>
    <w:p>
      <w:pPr>
        <w:pStyle w:val="Heading3"/>
      </w:pPr>
      <w:r>
        <w:t xml:space="preserve">2. Industry-Specific Digital Engagement</w:t>
      </w:r>
    </w:p>
    <w:p>
      <w:pPr>
        <w:pStyle w:val="FirstParagraph"/>
      </w:pPr>
      <w:r>
        <w:t xml:space="preserve">A Russia-focused digital campaign will dominate channels used by Moscow professionals: LinkedIn campaigns targeting job titles like "Head of Geotechnical Engineering," SEO-optimized content in Russian for queries like "Геолог в Москве" (Geologist in Moscow), and webinars co-hosted with Russian engineering associations. All content emphasizes cost avoidance—e.g., "How 3D Geological Modeling Prevented $2M Delay at New Moscow Airport Terminal."</w:t>
      </w:r>
    </w:p>
    <w:bookmarkEnd w:id="25"/>
    <w:bookmarkStart w:id="26" w:name="strategic-alliance-building"/>
    <w:p>
      <w:pPr>
        <w:pStyle w:val="Heading3"/>
      </w:pPr>
      <w:r>
        <w:t xml:space="preserve">3. Strategic Alliance Building</w:t>
      </w:r>
    </w:p>
    <w:p>
      <w:pPr>
        <w:pStyle w:val="FirstParagraph"/>
      </w:pPr>
      <w:r>
        <w:t xml:space="preserve">We will forge partnerships with key Moscow entities:</w:t>
      </w:r>
      <w:r>
        <w:t xml:space="preserve"> </w:t>
      </w:r>
      <w:r>
        <w:t xml:space="preserve">• Energy sector: Co-developing subsurface data protocols with GazpromNeft's geological department.</w:t>
      </w:r>
      <w:r>
        <w:t xml:space="preserve"> </w:t>
      </w:r>
      <w:r>
        <w:t xml:space="preserve">• Construction trade bodies: Becoming the official geologist provider for Moscow Construction Chamber events.</w:t>
      </w:r>
      <w:r>
        <w:t xml:space="preserve"> </w:t>
      </w:r>
      <w:r>
        <w:t xml:space="preserve">• Academic institutions: Launching a joint research program with MSU's Geology Faculty to address Moscow-specific challenges.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Strategic Purpose</w:t>
            </w:r>
          </w:p>
        </w:tc>
      </w:tr>
      <w:tr>
        <w:tc>
          <w:tcPr/>
          <w:p>
            <w:pPr>
              <w:pStyle w:val="Compact"/>
              <w:jc w:val="left"/>
            </w:pPr>
            <w:r>
              <w:t xml:space="preserve">Digital Marketing &amp; Localization</w:t>
            </w:r>
          </w:p>
        </w:tc>
        <w:tc>
          <w:tcPr/>
          <w:p>
            <w:pPr>
              <w:pStyle w:val="Compact"/>
              <w:jc w:val="left"/>
            </w:pPr>
            <w:r>
              <w:t xml:space="preserve">$320,000 (45%)</w:t>
            </w:r>
          </w:p>
        </w:tc>
        <w:tc>
          <w:tcPr/>
          <w:p>
            <w:pPr>
              <w:pStyle w:val="Compact"/>
              <w:jc w:val="left"/>
            </w:pPr>
            <w:r>
              <w:t xml:space="preserve">Russian-language SEO, LinkedIn ads targeting Moscow industry profiles, localized content development.</w:t>
            </w:r>
          </w:p>
        </w:tc>
      </w:tr>
      <w:tr>
        <w:tc>
          <w:tcPr/>
          <w:p>
            <w:pPr>
              <w:pStyle w:val="Compact"/>
              <w:jc w:val="left"/>
            </w:pPr>
            <w:r>
              <w:t xml:space="preserve">Industry Events &amp; Partnerships</w:t>
            </w:r>
          </w:p>
        </w:tc>
        <w:tc>
          <w:tcPr/>
          <w:p>
            <w:pPr>
              <w:pStyle w:val="Compact"/>
              <w:jc w:val="left"/>
            </w:pPr>
            <w:r>
              <w:t xml:space="preserve">$280,000 (43%)</w:t>
            </w:r>
          </w:p>
        </w:tc>
        <w:tc>
          <w:tcPr/>
          <w:p>
            <w:pPr>
              <w:pStyle w:val="Compact"/>
              <w:jc w:val="left"/>
            </w:pPr>
            <w:r>
              <w:t xml:space="preserve">Exclusive speaking slots at Moscow Oil &amp; Gas Summit, sponsored workshops with Construction Chamber.</w:t>
            </w:r>
          </w:p>
        </w:tc>
      </w:tr>
      <w:tr>
        <w:tc>
          <w:tcPr/>
          <w:p>
            <w:pPr>
              <w:pStyle w:val="Compact"/>
              <w:jc w:val="left"/>
            </w:pPr>
            <w:r>
              <w:t xml:space="preserve">Geologist Talent Development</w:t>
            </w:r>
          </w:p>
        </w:tc>
        <w:tc>
          <w:tcPr/>
          <w:p>
            <w:pPr>
              <w:pStyle w:val="Compact"/>
              <w:jc w:val="left"/>
            </w:pPr>
            <w:r>
              <w:t xml:space="preserve">$125,000 (17%)</w:t>
            </w:r>
          </w:p>
        </w:tc>
        <w:tc>
          <w:tcPr/>
          <w:p>
            <w:pPr>
              <w:pStyle w:val="Compact"/>
              <w:jc w:val="left"/>
            </w:pPr>
            <w:r>
              <w:t xml:space="preserve">Recruiting 3 Moscow-based senior Geologists with local project experience + Russian language certification.</w:t>
            </w:r>
          </w:p>
        </w:tc>
      </w:tr>
    </w:tbl>
    <w:bookmarkEnd w:id="28"/>
    <w:bookmarkStart w:id="29" w:name="X2b2aee65a1e4adb6869cdeae629e2df420ef410"/>
    <w:p>
      <w:pPr>
        <w:pStyle w:val="Heading2"/>
      </w:pPr>
      <w:r>
        <w:t xml:space="preserve">Risk Mitigation &amp; Compliance in Russia Moscow</w:t>
      </w:r>
    </w:p>
    <w:p>
      <w:pPr>
        <w:pStyle w:val="FirstParagraph"/>
      </w:pPr>
      <w:r>
        <w:t xml:space="preserve">All strategies comply with Russia's Federal Law No. 437-FZ on geological exploration. We've secured partnerships with Russian geospatial agencies (Rosreestr) to ensure all data adheres to state-mandated standards—eliminating regulatory barriers common in the market. Economic volatility is addressed through fixed-fee contracts for Moscow-based clients, reducing budget uncertainty during oil price fluctuations that impact energy sector spending.</w:t>
      </w:r>
    </w:p>
    <w:bookmarkEnd w:id="29"/>
    <w:bookmarkStart w:id="30" w:name="measurement-kpis"/>
    <w:p>
      <w:pPr>
        <w:pStyle w:val="Heading2"/>
      </w:pPr>
      <w:r>
        <w:t xml:space="preserve">Measurement &amp; KPIs</w:t>
      </w:r>
    </w:p>
    <w:p>
      <w:pPr>
        <w:pStyle w:val="FirstParagraph"/>
      </w:pPr>
      <w:r>
        <w:t xml:space="preserve">Success will be tracked via:</w:t>
      </w:r>
    </w:p>
    <w:p>
      <w:pPr>
        <w:numPr>
          <w:ilvl w:val="0"/>
          <w:numId w:val="1003"/>
        </w:numPr>
        <w:pStyle w:val="Compact"/>
      </w:pPr>
      <w:r>
        <w:rPr>
          <w:bCs/>
          <w:b/>
        </w:rPr>
        <w:t xml:space="preserve">Client Acquisition Cost (CAC):</w:t>
      </w:r>
      <w:r>
        <w:t xml:space="preserve"> </w:t>
      </w:r>
      <w:r>
        <w:t xml:space="preserve">Target: ≤$18,500 per Moscow client (industry average: $31,200)</w:t>
      </w:r>
    </w:p>
    <w:p>
      <w:pPr>
        <w:numPr>
          <w:ilvl w:val="0"/>
          <w:numId w:val="1003"/>
        </w:numPr>
        <w:pStyle w:val="Compact"/>
      </w:pPr>
      <w:r>
        <w:rPr>
          <w:bCs/>
          <w:b/>
        </w:rPr>
        <w:t xml:space="preserve">Cross-Sell Rate:</w:t>
      </w:r>
      <w:r>
        <w:t xml:space="preserve"> </w:t>
      </w:r>
      <w:r>
        <w:t xml:space="preserve">Target: 35% of new clients engaging additional geological services within 12 months</w:t>
      </w:r>
    </w:p>
    <w:p>
      <w:pPr>
        <w:numPr>
          <w:ilvl w:val="0"/>
          <w:numId w:val="1003"/>
        </w:numPr>
        <w:pStyle w:val="Compact"/>
      </w:pPr>
      <w:r>
        <w:rPr>
          <w:bCs/>
          <w:b/>
        </w:rPr>
        <w:t xml:space="preserve">Geologist Service Adoption:</w:t>
      </w:r>
      <w:r>
        <w:t xml:space="preserve"> </w:t>
      </w:r>
      <w:r>
        <w:t xml:space="preserve">Track via Moscow construction permits requiring certified geological reports (current rate: 27%)</w:t>
      </w:r>
    </w:p>
    <w:bookmarkEnd w:id="30"/>
    <w:bookmarkStart w:id="31" w:name="conclusion"/>
    <w:p>
      <w:pPr>
        <w:pStyle w:val="Heading2"/>
      </w:pPr>
      <w:r>
        <w:t xml:space="preserve">Conclusion</w:t>
      </w:r>
    </w:p>
    <w:p>
      <w:pPr>
        <w:pStyle w:val="FirstParagraph"/>
      </w:pPr>
      <w:r>
        <w:t xml:space="preserve">This Marketing Plan transforms our Geologist expertise into a strategic asset for Russia Moscow's most critical projects. By embedding our services within the city's energy, construction, and regulatory frameworks—rather than offering generic geological support—we address unmet needs that directly impact project success. The plan leverages Moscow's status as Russia's economic engine to build an enduring market leadership position where our Geologist team becomes synonymous with risk mitigation excellence in one of the world's most complex urban environments. With this targeted approach, we project a 200% ROI by Year 3 through high-value contracts that solve Moscow-specific geological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Russia Moscow</dc:title>
  <dc:creator/>
  <dc:language>en</dc:language>
  <cp:keywords/>
  <dcterms:created xsi:type="dcterms:W3CDTF">2026-07-23T13:01:08Z</dcterms:created>
  <dcterms:modified xsi:type="dcterms:W3CDTF">2026-07-23T13:01:08Z</dcterms:modified>
</cp:coreProperties>
</file>

<file path=docProps/custom.xml><?xml version="1.0" encoding="utf-8"?>
<Properties xmlns="http://schemas.openxmlformats.org/officeDocument/2006/custom-properties" xmlns:vt="http://schemas.openxmlformats.org/officeDocument/2006/docPropsVTypes"/>
</file>