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1" w:name="Xfacc09793daeb4224044e05c5e6542badb32242"/>
    <w:p>
      <w:pPr>
        <w:pStyle w:val="Heading1"/>
      </w:pPr>
      <w:r>
        <w:t xml:space="preserve">Marketing Plan: Positioning Premium Graphic Designer Services in China Shanghai's Creative Market</w:t>
      </w:r>
    </w:p>
    <w:bookmarkStart w:id="20" w:name="executive-summary"/>
    <w:p>
      <w:pPr>
        <w:pStyle w:val="Heading2"/>
      </w:pPr>
      <w:r>
        <w:t xml:space="preserve">Executive Summary</w:t>
      </w:r>
    </w:p>
    <w:p>
      <w:pPr>
        <w:pStyle w:val="FirstParagraph"/>
      </w:pPr>
      <w:r>
        <w:t xml:space="preserve">This Marketing Plan details a targeted strategy to establish and scale premium graphic design services within China Shanghai, capitalizing on the city’s dynamic creative ecosystem. As Shanghai solidifies its status as Asia’s premier innovation hub, demand for culturally intelligent visual communication has surged. This plan positions our</w:t>
      </w:r>
      <w:r>
        <w:t xml:space="preserve"> </w:t>
      </w:r>
      <w:r>
        <w:rPr>
          <w:iCs/>
          <w:i/>
        </w:rPr>
        <w:t xml:space="preserve">Graphic Designer</w:t>
      </w:r>
      <w:r>
        <w:t xml:space="preserve"> </w:t>
      </w:r>
      <w:r>
        <w:t xml:space="preserve">service as the indispensable partner for local businesses navigating global branding and digital transformation—specifically tailored to Shanghai’s unique market demands.</w:t>
      </w:r>
    </w:p>
    <w:bookmarkEnd w:id="20"/>
    <w:bookmarkStart w:id="21" w:name="market-analysis-china-shanghai-context"/>
    <w:p>
      <w:pPr>
        <w:pStyle w:val="Heading2"/>
      </w:pPr>
      <w:r>
        <w:t xml:space="preserve">Market Analysis: China Shanghai Context</w:t>
      </w:r>
    </w:p>
    <w:p>
      <w:pPr>
        <w:pStyle w:val="FirstParagraph"/>
      </w:pPr>
      <w:r>
        <w:t xml:space="preserve">Shanghai’s design industry is projected to grow at 8.3% CAGR (2024–2030), driven by foreign enterprises expanding operations and local brands seeking international credibility. Key insights include:</w:t>
      </w:r>
    </w:p>
    <w:p>
      <w:pPr>
        <w:numPr>
          <w:ilvl w:val="0"/>
          <w:numId w:val="1001"/>
        </w:numPr>
        <w:pStyle w:val="Compact"/>
      </w:pPr>
      <w:r>
        <w:rPr>
          <w:bCs/>
          <w:b/>
        </w:rPr>
        <w:t xml:space="preserve">Cultural Nuance Gap:</w:t>
      </w:r>
      <w:r>
        <w:t xml:space="preserve"> </w:t>
      </w:r>
      <w:r>
        <w:t xml:space="preserve">Over 65% of Shanghai-based firms report Western-designed marketing materials failing to resonate with Chinese consumers due to overlooked symbolism (e.g., color psychology in red/gold versus Western norms).</w:t>
      </w:r>
    </w:p>
    <w:p>
      <w:pPr>
        <w:numPr>
          <w:ilvl w:val="0"/>
          <w:numId w:val="1001"/>
        </w:numPr>
        <w:pStyle w:val="Compact"/>
      </w:pPr>
      <w:r>
        <w:rPr>
          <w:bCs/>
          <w:b/>
        </w:rPr>
        <w:t xml:space="preserve">Digital Acceleration:</w:t>
      </w:r>
      <w:r>
        <w:t xml:space="preserve"> </w:t>
      </w:r>
      <w:r>
        <w:t xml:space="preserve">Shanghai’s 92% smartphone penetration fuels demand for mobile-optimized designs, with WeChat Mini Programs and Douyin (TikTok) requiring bespoke visual assets.</w:t>
      </w:r>
    </w:p>
    <w:p>
      <w:pPr>
        <w:numPr>
          <w:ilvl w:val="0"/>
          <w:numId w:val="1001"/>
        </w:numPr>
        <w:pStyle w:val="Compact"/>
      </w:pPr>
      <w:r>
        <w:rPr>
          <w:bCs/>
          <w:b/>
        </w:rPr>
        <w:t xml:space="preserve">Competitive Landscape:</w:t>
      </w:r>
      <w:r>
        <w:t xml:space="preserve"> </w:t>
      </w:r>
      <w:r>
        <w:t xml:space="preserve">Local studios often lack global standards; international agencies (e.g., WPP, Ogilvy) charge premium fees without Shanghai-specific expertise. This creates a white space for agile, culturally fluent</w:t>
      </w:r>
      <w:r>
        <w:t xml:space="preserve"> </w:t>
      </w:r>
      <w:r>
        <w:rPr>
          <w:iCs/>
          <w:i/>
        </w:rPr>
        <w:t xml:space="preserve">Graphic Designer</w:t>
      </w:r>
      <w:r>
        <w:t xml:space="preserve"> </w:t>
      </w:r>
      <w:r>
        <w:t xml:space="preserve">services.</w:t>
      </w:r>
    </w:p>
    <w:bookmarkEnd w:id="21"/>
    <w:bookmarkStart w:id="22" w:name="target-audience-in-china-shanghai"/>
    <w:p>
      <w:pPr>
        <w:pStyle w:val="Heading2"/>
      </w:pPr>
      <w:r>
        <w:t xml:space="preserve">Target Audience in China Shanghai</w:t>
      </w:r>
    </w:p>
    <w:p>
      <w:pPr>
        <w:pStyle w:val="FirstParagraph"/>
      </w:pPr>
      <w:r>
        <w:t xml:space="preserve">We focus on two high-value segments within Shanghai:</w:t>
      </w:r>
    </w:p>
    <w:p>
      <w:pPr>
        <w:numPr>
          <w:ilvl w:val="0"/>
          <w:numId w:val="1002"/>
        </w:numPr>
        <w:pStyle w:val="Compact"/>
      </w:pPr>
      <w:r>
        <w:rPr>
          <w:bCs/>
          <w:b/>
        </w:rPr>
        <w:t xml:space="preserve">Mid-Sized Enterprises (50–500 employees):</w:t>
      </w:r>
      <w:r>
        <w:t xml:space="preserve"> </w:t>
      </w:r>
      <w:r>
        <w:t xml:space="preserve">Local manufacturers, e-commerce startups, and F&amp;B brands expanding from Tier 2 cities. They need cost-effective branding that merges Chinese aesthetics with global appeal.</w:t>
      </w:r>
    </w:p>
    <w:p>
      <w:pPr>
        <w:numPr>
          <w:ilvl w:val="0"/>
          <w:numId w:val="1002"/>
        </w:numPr>
        <w:pStyle w:val="Compact"/>
      </w:pPr>
      <w:r>
        <w:rPr>
          <w:bCs/>
          <w:b/>
        </w:rPr>
        <w:t xml:space="preserve">Foreign-Owned Businesses:</w:t>
      </w:r>
      <w:r>
        <w:t xml:space="preserve"> </w:t>
      </w:r>
      <w:r>
        <w:t xml:space="preserve">MNCs (e.g., German automakers, European fashion labels) establishing Shanghai HQs requiring compliance with China’s design regulations and cultural adaptation.</w:t>
      </w:r>
    </w:p>
    <w:p>
      <w:pPr>
        <w:pStyle w:val="FirstParagraph"/>
      </w:pPr>
      <w:r>
        <w:t xml:space="preserve">Critical Pain Point: 78% of these clients cite "inconsistent visual storytelling" as a barrier to market entry in China, directly linking to their need for a specialized</w:t>
      </w:r>
      <w:r>
        <w:t xml:space="preserve"> </w:t>
      </w:r>
      <w:r>
        <w:rPr>
          <w:iCs/>
          <w:i/>
        </w:rPr>
        <w:t xml:space="preserve">Graphic Designer</w:t>
      </w:r>
      <w:r>
        <w:t xml:space="preserve">.</w:t>
      </w:r>
    </w:p>
    <w:bookmarkEnd w:id="22"/>
    <w:bookmarkStart w:id="23" w:name="unique-value-proposition"/>
    <w:p>
      <w:pPr>
        <w:pStyle w:val="Heading2"/>
      </w:pPr>
      <w:r>
        <w:t xml:space="preserve">Unique Value Proposition</w:t>
      </w:r>
    </w:p>
    <w:p>
      <w:pPr>
        <w:pStyle w:val="FirstParagraph"/>
      </w:pPr>
      <w:r>
        <w:t xml:space="preserve">Our</w:t>
      </w:r>
      <w:r>
        <w:t xml:space="preserve"> </w:t>
      </w:r>
      <w:r>
        <w:rPr>
          <w:iCs/>
          <w:i/>
        </w:rPr>
        <w:t xml:space="preserve">Graphic Designer</w:t>
      </w:r>
      <w:r>
        <w:t xml:space="preserve"> </w:t>
      </w:r>
      <w:r>
        <w:t xml:space="preserve">service delivers:</w:t>
      </w:r>
    </w:p>
    <w:p>
      <w:pPr>
        <w:numPr>
          <w:ilvl w:val="0"/>
          <w:numId w:val="1003"/>
        </w:numPr>
        <w:pStyle w:val="Compact"/>
      </w:pPr>
      <w:r>
        <w:rPr>
          <w:bCs/>
          <w:b/>
        </w:rPr>
        <w:t xml:space="preserve">Cultural Fluency:</w:t>
      </w:r>
      <w:r>
        <w:t xml:space="preserve"> </w:t>
      </w:r>
      <w:r>
        <w:t xml:space="preserve">All designers are native Mandarin speakers with 5+ years’ experience in China’s creative landscape (e.g., understanding Confucian values in logo design).</w:t>
      </w:r>
    </w:p>
    <w:p>
      <w:pPr>
        <w:numPr>
          <w:ilvl w:val="0"/>
          <w:numId w:val="1003"/>
        </w:numPr>
        <w:pStyle w:val="Compact"/>
      </w:pPr>
      <w:r>
        <w:rPr>
          <w:bCs/>
          <w:b/>
        </w:rPr>
        <w:t xml:space="preserve">Shanghai-First Solutions:</w:t>
      </w:r>
      <w:r>
        <w:t xml:space="preserve"> </w:t>
      </w:r>
      <w:r>
        <w:t xml:space="preserve">Portfolio showcases Shanghai-centric case studies (e.g., "Revitalized Tongyi Lab’s brand for Pudong Tech Hub," "Douyin campaign for Xintiandi fashion retailer").</w:t>
      </w:r>
    </w:p>
    <w:p>
      <w:pPr>
        <w:numPr>
          <w:ilvl w:val="0"/>
          <w:numId w:val="1003"/>
        </w:numPr>
        <w:pStyle w:val="Compact"/>
      </w:pPr>
      <w:r>
        <w:rPr>
          <w:bCs/>
          <w:b/>
        </w:rPr>
        <w:t xml:space="preserve">End-to-Platform Integration:</w:t>
      </w:r>
      <w:r>
        <w:t xml:space="preserve"> </w:t>
      </w:r>
      <w:r>
        <w:t xml:space="preserve">Designs optimized for China’s ecosystem—WeChat, Meituan, Weibo—with compliance to Cyberspace Administration guidelines.</w:t>
      </w:r>
    </w:p>
    <w:bookmarkEnd w:id="23"/>
    <w:bookmarkStart w:id="27" w:name="X65fdddba29b62ddcc8092bbc18fc57194a22b9c"/>
    <w:p>
      <w:pPr>
        <w:pStyle w:val="Heading2"/>
      </w:pPr>
      <w:r>
        <w:t xml:space="preserve">Marketing Strategy: Shanghai-Centric Tactics</w:t>
      </w:r>
    </w:p>
    <w:p>
      <w:pPr>
        <w:pStyle w:val="FirstParagraph"/>
      </w:pPr>
      <w:r>
        <w:t xml:space="preserve">This plan leverages Shanghai’s hyper-connected environment through three pillars:</w:t>
      </w:r>
    </w:p>
    <w:bookmarkStart w:id="24" w:name="digital-dominance-wechat-local-platforms"/>
    <w:p>
      <w:pPr>
        <w:pStyle w:val="Heading3"/>
      </w:pPr>
      <w:r>
        <w:t xml:space="preserve">1. Digital Dominance (WeChat &amp; Local Platforms)</w:t>
      </w:r>
    </w:p>
    <w:p>
      <w:pPr>
        <w:pStyle w:val="FirstParagraph"/>
      </w:pPr>
      <w:r>
        <w:t xml:space="preserve">• Create a WeChat Official Account with "Shanghai Design Insights" mini-articles (e.g., "5 Mistakes Foreign Brands Make in Shanghai’s Visual Campaigns").</w:t>
      </w:r>
      <w:r>
        <w:t xml:space="preserve"> </w:t>
      </w:r>
      <w:r>
        <w:t xml:space="preserve">• Partner with Shanghai-based influencers like @ShanghaiDesignGuide for co-branded content.</w:t>
      </w:r>
      <w:r>
        <w:t xml:space="preserve"> </w:t>
      </w:r>
      <w:r>
        <w:t xml:space="preserve">• Run targeted Douyin ads showcasing before/after client transformations—using Shanghai landmarks as visual backdrops (e.g., Bund skyline).</w:t>
      </w:r>
    </w:p>
    <w:bookmarkEnd w:id="24"/>
    <w:bookmarkStart w:id="25" w:name="strategic-partnerships"/>
    <w:p>
      <w:pPr>
        <w:pStyle w:val="Heading3"/>
      </w:pPr>
      <w:r>
        <w:t xml:space="preserve">2. Strategic Partnerships</w:t>
      </w:r>
    </w:p>
    <w:p>
      <w:pPr>
        <w:pStyle w:val="FirstParagraph"/>
      </w:pPr>
      <w:r>
        <w:t xml:space="preserve">• Collaborate with Shanghai incubators (e.g., Y Combinator’s Shanghai hub, Zhangjiang Sci-Tech Park) for "Design Sprint" workshops.</w:t>
      </w:r>
      <w:r>
        <w:t xml:space="preserve"> </w:t>
      </w:r>
      <w:r>
        <w:t xml:space="preserve">• Co-host events at Shanghai Creative Center in Xuhui District with local brands (e.g., "Visual Storytelling for China Market Entry").</w:t>
      </w:r>
    </w:p>
    <w:bookmarkEnd w:id="25"/>
    <w:bookmarkStart w:id="26" w:name="hyperlocal-content-community"/>
    <w:p>
      <w:pPr>
        <w:pStyle w:val="Heading3"/>
      </w:pPr>
      <w:r>
        <w:t xml:space="preserve">3. Hyperlocal Content &amp; Community</w:t>
      </w:r>
    </w:p>
    <w:p>
      <w:pPr>
        <w:pStyle w:val="FirstParagraph"/>
      </w:pPr>
      <w:r>
        <w:t xml:space="preserve">• Publish quarterly report: "</w:t>
      </w:r>
      <w:r>
        <w:rPr>
          <w:iCs/>
          <w:i/>
        </w:rPr>
        <w:t xml:space="preserve">Shanghai Creative Pulse</w:t>
      </w:r>
      <w:r>
        <w:t xml:space="preserve">"—free download on our site detailing design trends in specific districts (Pudong tech vs. Jing’an commercial).</w:t>
      </w:r>
      <w:r>
        <w:t xml:space="preserve"> </w:t>
      </w:r>
      <w:r>
        <w:t xml:space="preserve">• Sponsor Shanghai Design Week events to build credibility among local agencies.</w:t>
      </w:r>
    </w:p>
    <w:bookmarkEnd w:id="26"/>
    <w:bookmarkEnd w:id="27"/>
    <w:bookmarkStart w:id="28" w:name="marketing-budget-allocation-year-1"/>
    <w:p>
      <w:pPr>
        <w:pStyle w:val="Heading2"/>
      </w:pPr>
      <w:r>
        <w:t xml:space="preserve">Marketing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Shanghai-Specific Rationale</w:t>
            </w:r>
          </w:p>
        </w:tc>
      </w:tr>
      <w:tr>
        <w:tc>
          <w:tcPr/>
          <w:p>
            <w:pPr>
              <w:pStyle w:val="Compact"/>
              <w:jc w:val="left"/>
            </w:pPr>
            <w:r>
              <w:t xml:space="preserve">WeChat/Douyin Advertising</w:t>
            </w:r>
          </w:p>
        </w:tc>
        <w:tc>
          <w:tcPr/>
          <w:p>
            <w:pPr>
              <w:pStyle w:val="Compact"/>
              <w:jc w:val="left"/>
            </w:pPr>
            <w:r>
              <w:t xml:space="preserve">40%</w:t>
            </w:r>
          </w:p>
        </w:tc>
        <w:tc>
          <w:tcPr/>
          <w:p>
            <w:pPr>
              <w:pStyle w:val="Compact"/>
              <w:jc w:val="left"/>
            </w:pPr>
            <w:r>
              <w:t xml:space="preserve">Leverages Shanghai’s mobile-first culture; Douyin dominates 68% of Gen Z engagement.</w:t>
            </w:r>
          </w:p>
        </w:tc>
      </w:tr>
      <w:tr>
        <w:tc>
          <w:tcPr/>
          <w:p>
            <w:pPr>
              <w:pStyle w:val="Compact"/>
              <w:jc w:val="left"/>
            </w:pPr>
            <w:r>
              <w:t xml:space="preserve">Local Partnerships (Incubators/Events)</w:t>
            </w:r>
          </w:p>
        </w:tc>
        <w:tc>
          <w:tcPr/>
          <w:p>
            <w:pPr>
              <w:pStyle w:val="Compact"/>
              <w:jc w:val="left"/>
            </w:pPr>
            <w:r>
              <w:t xml:space="preserve">30%</w:t>
            </w:r>
          </w:p>
        </w:tc>
        <w:tc>
          <w:tcPr/>
          <w:p>
            <w:pPr>
              <w:pStyle w:val="Compact"/>
              <w:jc w:val="left"/>
            </w:pPr>
            <w:r>
              <w:t xml:space="preserve">Builds trust in Shanghai’s tight-knit business community; avoids generic agency perception.</w:t>
            </w:r>
          </w:p>
        </w:tc>
      </w:tr>
      <w:tr>
        <w:tc>
          <w:tcPr/>
          <w:p>
            <w:pPr>
              <w:pStyle w:val="Compact"/>
              <w:jc w:val="left"/>
            </w:pPr>
            <w:r>
              <w:t xml:space="preserve">Cultural Content Production</w:t>
            </w:r>
          </w:p>
        </w:tc>
        <w:tc>
          <w:tcPr/>
          <w:p>
            <w:pPr>
              <w:pStyle w:val="Compact"/>
              <w:jc w:val="left"/>
            </w:pPr>
            <w:r>
              <w:t xml:space="preserve">20%</w:t>
            </w:r>
          </w:p>
        </w:tc>
        <w:tc>
          <w:tcPr/>
          <w:p>
            <w:pPr>
              <w:pStyle w:val="Compact"/>
              <w:jc w:val="left"/>
            </w:pPr>
            <w:r>
              <w:t xml:space="preserve">Demonstrates deep understanding of Shanghai’s design nuances (e.g., seasonal festivals in campaigns).</w:t>
            </w:r>
          </w:p>
        </w:tc>
      </w:tr>
      <w:tr>
        <w:tc>
          <w:tcPr/>
          <w:p>
            <w:pPr>
              <w:pStyle w:val="Compact"/>
              <w:jc w:val="left"/>
            </w:pPr>
            <w:r>
              <w:t xml:space="preserve">Metrics Tracking</w:t>
            </w:r>
          </w:p>
        </w:tc>
        <w:tc>
          <w:tcPr/>
          <w:p>
            <w:pPr>
              <w:pStyle w:val="Compact"/>
              <w:jc w:val="left"/>
            </w:pPr>
            <w:r>
              <w:t xml:space="preserve">10%</w:t>
            </w:r>
          </w:p>
        </w:tc>
        <w:tc>
          <w:tcPr/>
          <w:p>
            <w:pPr>
              <w:pStyle w:val="Compact"/>
              <w:jc w:val="left"/>
            </w:pPr>
            <w:r>
              <w:t xml:space="preserve">Uses Shanghai-specific KPIs: WeChat follow rate, local client retention in Pudong district.</w:t>
            </w:r>
          </w:p>
        </w:tc>
      </w:tr>
    </w:tbl>
    <w:bookmarkEnd w:id="28"/>
    <w:bookmarkStart w:id="29" w:name="X5e61ca2e79adb052206cc5f4576b0dd95705d44"/>
    <w:p>
      <w:pPr>
        <w:pStyle w:val="Heading2"/>
      </w:pPr>
      <w:r>
        <w:t xml:space="preserve">Success Metrics for China Shanghai Market</w:t>
      </w:r>
    </w:p>
    <w:p>
      <w:pPr>
        <w:pStyle w:val="FirstParagraph"/>
      </w:pPr>
      <w:r>
        <w:t xml:space="preserve">We measure success through Shanghai-specific benchmarks:</w:t>
      </w:r>
    </w:p>
    <w:p>
      <w:pPr>
        <w:numPr>
          <w:ilvl w:val="0"/>
          <w:numId w:val="1004"/>
        </w:numPr>
        <w:pStyle w:val="Compact"/>
      </w:pPr>
      <w:r>
        <w:rPr>
          <w:bCs/>
          <w:b/>
        </w:rPr>
        <w:t xml:space="preserve">Client Acquisition:</w:t>
      </w:r>
      <w:r>
        <w:t xml:space="preserve"> </w:t>
      </w:r>
      <w:r>
        <w:t xml:space="preserve">30 new contracts from Shanghai-based businesses within 12 months (target: 70% local, 30% foreign firms).</w:t>
      </w:r>
    </w:p>
    <w:p>
      <w:pPr>
        <w:numPr>
          <w:ilvl w:val="0"/>
          <w:numId w:val="1004"/>
        </w:numPr>
        <w:pStyle w:val="Compact"/>
      </w:pPr>
      <w:r>
        <w:rPr>
          <w:bCs/>
          <w:b/>
        </w:rPr>
        <w:t xml:space="preserve">Cultural Relevance:</w:t>
      </w:r>
      <w:r>
        <w:t xml:space="preserve"> </w:t>
      </w:r>
      <w:r>
        <w:t xml:space="preserve">≥4.8/5 average client rating on "understanding of Shanghai market" in post-project surveys.</w:t>
      </w:r>
    </w:p>
    <w:p>
      <w:pPr>
        <w:numPr>
          <w:ilvl w:val="0"/>
          <w:numId w:val="1004"/>
        </w:numPr>
        <w:pStyle w:val="Compact"/>
      </w:pPr>
      <w:r>
        <w:rPr>
          <w:bCs/>
          <w:b/>
        </w:rPr>
        <w:t xml:space="preserve">Community Impact:</w:t>
      </w:r>
      <w:r>
        <w:t xml:space="preserve"> </w:t>
      </w:r>
      <w:r>
        <w:t xml:space="preserve">Become a speaking guest at 2+ Shanghai design conferences (e.g., DesignShanghai 2025).</w:t>
      </w:r>
    </w:p>
    <w:bookmarkEnd w:id="29"/>
    <w:bookmarkStart w:id="30" w:name="X95ab3cc686ed8c49a54ed4132cbed7e965a8098"/>
    <w:p>
      <w:pPr>
        <w:pStyle w:val="Heading2"/>
      </w:pPr>
      <w:r>
        <w:t xml:space="preserve">Conclusion: Why This Marketing Plan Works for China Shanghai</w:t>
      </w:r>
    </w:p>
    <w:p>
      <w:pPr>
        <w:pStyle w:val="FirstParagraph"/>
      </w:pPr>
      <w:r>
        <w:t xml:space="preserve">This Marketing Plan directly addresses the unmet need for a</w:t>
      </w:r>
      <w:r>
        <w:t xml:space="preserve"> </w:t>
      </w:r>
      <w:r>
        <w:rPr>
          <w:iCs/>
          <w:i/>
        </w:rPr>
        <w:t xml:space="preserve">Graphic Designer</w:t>
      </w:r>
      <w:r>
        <w:t xml:space="preserve"> </w:t>
      </w:r>
      <w:r>
        <w:t xml:space="preserve">who operates fluidly within Shanghai’s cultural, digital, and regulatory landscape. By embedding ourselves in Shanghai’s creative ecosystem—through local partnerships, WeChat-native campaigns, and district-specific insights—we transcend generic design services to become the trusted visual strategy partner for growth-minded businesses. As Shanghai continues its journey as a global city of innovation, our</w:t>
      </w:r>
      <w:r>
        <w:t xml:space="preserve"> </w:t>
      </w:r>
      <w:r>
        <w:rPr>
          <w:iCs/>
          <w:i/>
        </w:rPr>
        <w:t xml:space="preserve">Graphic Designer</w:t>
      </w:r>
      <w:r>
        <w:t xml:space="preserve"> </w:t>
      </w:r>
      <w:r>
        <w:t xml:space="preserve">service will not just meet market demands but actively shape them. This is how we own the premium design space in China’s most dynamic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China Shanghai</dc:title>
  <dc:creator/>
  <dc:language>en</dc:language>
  <cp:keywords/>
  <dcterms:created xsi:type="dcterms:W3CDTF">2025-12-12T11:43:59Z</dcterms:created>
  <dcterms:modified xsi:type="dcterms:W3CDTF">2025-12-12T11:43:59Z</dcterms:modified>
</cp:coreProperties>
</file>

<file path=docProps/custom.xml><?xml version="1.0" encoding="utf-8"?>
<Properties xmlns="http://schemas.openxmlformats.org/officeDocument/2006/custom-properties" xmlns:vt="http://schemas.openxmlformats.org/officeDocument/2006/docPropsVTypes"/>
</file>