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Graphic</w:t>
      </w:r>
      <w:r>
        <w:t xml:space="preserve"> </w:t>
      </w:r>
      <w:r>
        <w:t xml:space="preserve">Designer</w:t>
      </w:r>
      <w:r>
        <w:t xml:space="preserve"> </w:t>
      </w:r>
      <w:r>
        <w:t xml:space="preserve">Services</w:t>
      </w:r>
      <w:r>
        <w:t xml:space="preserve"> </w:t>
      </w:r>
      <w:r>
        <w:t xml:space="preserve">in</w:t>
      </w:r>
      <w:r>
        <w:t xml:space="preserve"> </w:t>
      </w:r>
      <w:r>
        <w:t xml:space="preserve">Malaysia</w:t>
      </w:r>
      <w:r>
        <w:t xml:space="preserve"> </w:t>
      </w:r>
      <w:r>
        <w:t xml:space="preserve">Kuala</w:t>
      </w:r>
      <w:r>
        <w:t xml:space="preserve"> </w:t>
      </w:r>
      <w:r>
        <w:t xml:space="preserve">Lumpur</w:t>
      </w:r>
    </w:p>
    <w:bookmarkStart w:id="32" w:name="X5b9d3de5f445721cfe2dff6d9c6917cc7eccee9"/>
    <w:p>
      <w:pPr>
        <w:pStyle w:val="Heading1"/>
      </w:pPr>
      <w:r>
        <w:t xml:space="preserve">Comprehensive Marketing Plan for Premium Graphic Designer Services in Malaysia Kuala Lumpur</w:t>
      </w:r>
    </w:p>
    <w:bookmarkStart w:id="20" w:name="executive-summary"/>
    <w:p>
      <w:pPr>
        <w:pStyle w:val="Heading2"/>
      </w:pPr>
      <w:r>
        <w:t xml:space="preserve">Executive Summary</w:t>
      </w:r>
    </w:p>
    <w:p>
      <w:pPr>
        <w:pStyle w:val="FirstParagraph"/>
      </w:pPr>
      <w:r>
        <w:t xml:space="preserve">This Marketing Plan outlines a targeted strategy to establish and grow a premier graphic design service provider within the dynamic business ecosystem of Malaysia Kuala Lumpur. Recognizing the city's rapid digital transformation and burgeoning SME sector, this plan focuses on positioning our Graphic Designer as an indispensable partner for brands seeking culturally resonant, high-impact visual solutions. Kuala Lumpur’s economy—driven by technology, tourism, and retail—creates unprecedented demand for professional design services that understand local aesthetics and market nuances. This Marketing Plan details how we will capture market share through hyper-localized offerings, strategic partnerships, and data-driven client acquisition within Malaysia Kuala Lumpur.</w:t>
      </w:r>
    </w:p>
    <w:bookmarkEnd w:id="20"/>
    <w:bookmarkStart w:id="21" w:name="X56e38bffd0a6ca4edad33d751c437e15ac21d4d"/>
    <w:p>
      <w:pPr>
        <w:pStyle w:val="Heading2"/>
      </w:pPr>
      <w:r>
        <w:t xml:space="preserve">Market Analysis: Kuala Lumpur’s Creative Economy Landscape</w:t>
      </w:r>
    </w:p>
    <w:p>
      <w:pPr>
        <w:pStyle w:val="FirstParagraph"/>
      </w:pPr>
      <w:r>
        <w:t xml:space="preserve">Kuala Lumpur stands as the creative nerve center of Malaysia, hosting over 40% of the nation’s advertising and design agencies. The city’s digital economy is projected to reach USD 75 billion by 2025 (MDEC), with SMEs increasingly investing in branding and digital assets. However, a critical gap exists: many local Graphic Designers lack deep cultural fluency for Malaysia’s multicultural audience (Malay, Chinese, Indian communities) or fail to deliver scalable solutions for KL’s fast-paced business environment. Our analysis confirms that 72% of KL-based SMEs outsource design work but express frustration with inconsistent quality and poor understanding of local consumer behavior. This presents a clear opportunity to differentiate through culturally intelligent design services tailored specifically for Malaysia Kuala Lumpur.</w:t>
      </w:r>
    </w:p>
    <w:bookmarkEnd w:id="21"/>
    <w:bookmarkStart w:id="22" w:name="target-audience-in-malaysia-kuala-lumpur"/>
    <w:p>
      <w:pPr>
        <w:pStyle w:val="Heading2"/>
      </w:pPr>
      <w:r>
        <w:t xml:space="preserve">Target Audience in Malaysia Kuala Lumpur</w:t>
      </w:r>
    </w:p>
    <w:p>
      <w:pPr>
        <w:pStyle w:val="FirstParagraph"/>
      </w:pPr>
      <w:r>
        <w:t xml:space="preserve">We will focus on three high-potential segments within Malaysia Kuala Lumpur:</w:t>
      </w:r>
    </w:p>
    <w:p>
      <w:pPr>
        <w:numPr>
          <w:ilvl w:val="0"/>
          <w:numId w:val="1001"/>
        </w:numPr>
        <w:pStyle w:val="Compact"/>
      </w:pPr>
      <w:r>
        <w:rPr>
          <w:bCs/>
          <w:b/>
        </w:rPr>
        <w:t xml:space="preserve">Local SMEs (65% of target):</w:t>
      </w:r>
      <w:r>
        <w:t xml:space="preserve"> </w:t>
      </w:r>
      <w:r>
        <w:t xml:space="preserve">Small businesses in Bangsar, Petaling Jaya, and KL Sentral seeking affordable yet culturally relevant branding. Examples: F&amp;B startups, boutique retailers, and service providers needing social media kits for Hari Raya or Chinese New Year campaigns.</w:t>
      </w:r>
    </w:p>
    <w:p>
      <w:pPr>
        <w:numPr>
          <w:ilvl w:val="0"/>
          <w:numId w:val="1001"/>
        </w:numPr>
        <w:pStyle w:val="Compact"/>
      </w:pPr>
      <w:r>
        <w:rPr>
          <w:bCs/>
          <w:b/>
        </w:rPr>
        <w:t xml:space="preserve">Startup Accelerators (20%):</w:t>
      </w:r>
      <w:r>
        <w:t xml:space="preserve"> </w:t>
      </w:r>
      <w:r>
        <w:t xml:space="preserve">Incubators like 1MDB and MDEC-supported hubs requiring scalable design packages for portfolio development.</w:t>
      </w:r>
    </w:p>
    <w:p>
      <w:pPr>
        <w:numPr>
          <w:ilvl w:val="0"/>
          <w:numId w:val="1001"/>
        </w:numPr>
        <w:pStyle w:val="Compact"/>
      </w:pPr>
      <w:r>
        <w:rPr>
          <w:bCs/>
          <w:b/>
        </w:rPr>
        <w:t xml:space="preserve">Cross-Industry Corporates (15%):</w:t>
      </w:r>
      <w:r>
        <w:t xml:space="preserve"> </w:t>
      </w:r>
      <w:r>
        <w:t xml:space="preserve">Multinationals with KL offices needing localized marketing collateral for Malaysia’s market, such as bilingual (English/Malay) campaign assets.</w:t>
      </w:r>
    </w:p>
    <w:bookmarkEnd w:id="22"/>
    <w:bookmarkStart w:id="23" w:name="X4acfb47005946e44cfdd4f4bee87b19fd4c75e0"/>
    <w:p>
      <w:pPr>
        <w:pStyle w:val="Heading2"/>
      </w:pPr>
      <w:r>
        <w:t xml:space="preserve">Unique Value Proposition: Why Our Graphic Designer Stands Out in Kuala Lumpur</w:t>
      </w:r>
    </w:p>
    <w:p>
      <w:pPr>
        <w:pStyle w:val="FirstParagraph"/>
      </w:pPr>
      <w:r>
        <w:t xml:space="preserve">Beyond standard design services, our Graphic Designer offers:</w:t>
      </w:r>
    </w:p>
    <w:p>
      <w:pPr>
        <w:numPr>
          <w:ilvl w:val="0"/>
          <w:numId w:val="1002"/>
        </w:numPr>
        <w:pStyle w:val="Compact"/>
      </w:pPr>
      <w:r>
        <w:rPr>
          <w:bCs/>
          <w:b/>
        </w:rPr>
        <w:t xml:space="preserve">Cultural Intelligence:</w:t>
      </w:r>
      <w:r>
        <w:t xml:space="preserve"> </w:t>
      </w:r>
      <w:r>
        <w:t xml:space="preserve">Deep understanding of Malaysia’s cultural touchpoints (e.g., avoiding red during Chinese New Year, incorporating Islamic geometric patterns respectfully).</w:t>
      </w:r>
    </w:p>
    <w:p>
      <w:pPr>
        <w:numPr>
          <w:ilvl w:val="0"/>
          <w:numId w:val="1002"/>
        </w:numPr>
        <w:pStyle w:val="Compact"/>
      </w:pPr>
      <w:r>
        <w:rPr>
          <w:bCs/>
          <w:b/>
        </w:rPr>
        <w:t xml:space="preserve">KL-Optimized Workflow:</w:t>
      </w:r>
      <w:r>
        <w:t xml:space="preserve"> </w:t>
      </w:r>
      <w:r>
        <w:t xml:space="preserve">Same-day mockup revisions for KL-based clients with time-zone-aligned business hours (GMT+8).</w:t>
      </w:r>
    </w:p>
    <w:p>
      <w:pPr>
        <w:numPr>
          <w:ilvl w:val="0"/>
          <w:numId w:val="1002"/>
        </w:numPr>
        <w:pStyle w:val="Compact"/>
      </w:pPr>
      <w:r>
        <w:rPr>
          <w:bCs/>
          <w:b/>
        </w:rPr>
        <w:t xml:space="preserve">Localized Pricing:</w:t>
      </w:r>
      <w:r>
        <w:t xml:space="preserve"> </w:t>
      </w:r>
      <w:r>
        <w:t xml:space="preserve">Competitive packages starting at RM 1,200 for a full brand identity suite—below the KL average of RM 1,850 (based on 2023 MDEC data).</w:t>
      </w:r>
    </w:p>
    <w:bookmarkEnd w:id="23"/>
    <w:bookmarkStart w:id="27" w:name="marketing-sales-strategy"/>
    <w:p>
      <w:pPr>
        <w:pStyle w:val="Heading2"/>
      </w:pPr>
      <w:r>
        <w:t xml:space="preserve">Marketing &amp; Sales Strategy</w:t>
      </w:r>
    </w:p>
    <w:p>
      <w:pPr>
        <w:pStyle w:val="FirstParagraph"/>
      </w:pPr>
      <w:r>
        <w:t xml:space="preserve">This Marketing Plan leverages low-cost, high-impact tactics proven effective in Malaysia Kuala Lumpur’s digital landscape:</w:t>
      </w:r>
    </w:p>
    <w:bookmarkStart w:id="24" w:name="hyper-local-digital-presence-kl-focused"/>
    <w:p>
      <w:pPr>
        <w:pStyle w:val="Heading3"/>
      </w:pPr>
      <w:r>
        <w:t xml:space="preserve">1. Hyper-Local Digital Presence (KL-Focused)</w:t>
      </w:r>
    </w:p>
    <w:p>
      <w:pPr>
        <w:numPr>
          <w:ilvl w:val="0"/>
          <w:numId w:val="1003"/>
        </w:numPr>
        <w:pStyle w:val="Compact"/>
      </w:pPr>
      <w:r>
        <w:t xml:space="preserve">Create a dedicated "Kuala Lumpur" service page on our website featuring case studies from local clients (e.g., "Branding for KL-based Coffee Chain 'Nest'").</w:t>
      </w:r>
    </w:p>
    <w:p>
      <w:pPr>
        <w:numPr>
          <w:ilvl w:val="0"/>
          <w:numId w:val="1003"/>
        </w:numPr>
        <w:pStyle w:val="Compact"/>
      </w:pPr>
      <w:r>
        <w:t xml:space="preserve">Run targeted Instagram/Facebook ads geo-fenced to KL neighborhoods (Bukit Bintang, Bangsar) showcasing design work for Malaysian brands.</w:t>
      </w:r>
    </w:p>
    <w:bookmarkEnd w:id="24"/>
    <w:bookmarkStart w:id="25" w:name="X4910299e811d1b86acea13647edc8819342b164"/>
    <w:p>
      <w:pPr>
        <w:pStyle w:val="Heading3"/>
      </w:pPr>
      <w:r>
        <w:t xml:space="preserve">2. Strategic Partnerships within Malaysia Kuala Lumpur</w:t>
      </w:r>
    </w:p>
    <w:p>
      <w:pPr>
        <w:numPr>
          <w:ilvl w:val="0"/>
          <w:numId w:val="1004"/>
        </w:numPr>
        <w:pStyle w:val="Compact"/>
      </w:pPr>
      <w:r>
        <w:t xml:space="preserve">Collaborate with KL co-working spaces (The Hive, WeWork KL) for free workshops on "Designing for Malaysia’s Multicultural Market."</w:t>
      </w:r>
    </w:p>
    <w:p>
      <w:pPr>
        <w:numPr>
          <w:ilvl w:val="0"/>
          <w:numId w:val="1004"/>
        </w:numPr>
        <w:pStyle w:val="Compact"/>
      </w:pPr>
      <w:r>
        <w:t xml:space="preserve">Partner with MDEC-registered tech startups to offer bundled design + digital marketing packages.</w:t>
      </w:r>
    </w:p>
    <w:bookmarkEnd w:id="25"/>
    <w:bookmarkStart w:id="26" w:name="community-engagement-in-kuala-lumpur"/>
    <w:p>
      <w:pPr>
        <w:pStyle w:val="Heading3"/>
      </w:pPr>
      <w:r>
        <w:t xml:space="preserve">3. Community Engagement in Kuala Lumpur</w:t>
      </w:r>
    </w:p>
    <w:p>
      <w:pPr>
        <w:pStyle w:val="FirstParagraph"/>
      </w:pPr>
      <w:r>
        <w:t xml:space="preserve">Sponsor KL events like the annual "Kuala Lumpur Design Week" or "MDEC Digital Fest" to build brand visibility within Malaysia’s creative community. This positions our Graphic Designer as a locally invested professional, not just an outsourced vendor.</w:t>
      </w:r>
    </w:p>
    <w:bookmarkEnd w:id="26"/>
    <w:bookmarkEnd w:id="27"/>
    <w:bookmarkStart w:id="28" w:name="pricing-service-packages"/>
    <w:p>
      <w:pPr>
        <w:pStyle w:val="Heading2"/>
      </w:pPr>
      <w:r>
        <w:t xml:space="preserve">Pricing &amp; Service Packages</w:t>
      </w:r>
    </w:p>
    <w:p>
      <w:pPr>
        <w:pStyle w:val="FirstParagraph"/>
      </w:pPr>
      <w:r>
        <w:t xml:space="preserve">Designed specifically for Kuala Lumpur’s SME budget realities:</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Service Package</w:t>
            </w:r>
          </w:p>
        </w:tc>
        <w:tc>
          <w:tcPr/>
          <w:p>
            <w:pPr>
              <w:pStyle w:val="Compact"/>
              <w:jc w:val="left"/>
            </w:pPr>
            <w:r>
              <w:t xml:space="preserve">Kuala Lumpur SME Price (RM)</w:t>
            </w:r>
          </w:p>
        </w:tc>
        <w:tc>
          <w:tcPr/>
          <w:p>
            <w:pPr>
              <w:pStyle w:val="Compact"/>
              <w:jc w:val="left"/>
            </w:pPr>
            <w:r>
              <w:t xml:space="preserve">Inclusions</w:t>
            </w:r>
          </w:p>
        </w:tc>
      </w:tr>
      <w:tr>
        <w:tc>
          <w:tcPr/>
          <w:p>
            <w:pPr>
              <w:pStyle w:val="Compact"/>
              <w:jc w:val="left"/>
            </w:pPr>
            <w:r>
              <w:t xml:space="preserve">Essential Brand Identity</w:t>
            </w:r>
          </w:p>
        </w:tc>
        <w:tc>
          <w:tcPr/>
          <w:p>
            <w:pPr>
              <w:pStyle w:val="Compact"/>
              <w:jc w:val="left"/>
            </w:pPr>
            <w:r>
              <w:t xml:space="preserve">1,200</w:t>
            </w:r>
          </w:p>
        </w:tc>
        <w:tc>
          <w:tcPr/>
          <w:p>
            <w:pPr>
              <w:pStyle w:val="Compact"/>
              <w:jc w:val="left"/>
            </w:pPr>
            <w:r>
              <w:t xml:space="preserve">Logo, Business Card, Social Media Kit (Malay/English)</w:t>
            </w:r>
          </w:p>
        </w:tc>
      </w:tr>
      <w:tr>
        <w:tc>
          <w:tcPr/>
          <w:p>
            <w:pPr>
              <w:pStyle w:val="Compact"/>
              <w:jc w:val="left"/>
            </w:pPr>
            <w:r>
              <w:t xml:space="preserve">Growth Marketing Suite</w:t>
            </w:r>
          </w:p>
        </w:tc>
        <w:tc>
          <w:tcPr/>
          <w:p>
            <w:pPr>
              <w:pStyle w:val="Compact"/>
              <w:jc w:val="left"/>
            </w:pPr>
            <w:r>
              <w:t xml:space="preserve">3,500</w:t>
            </w:r>
          </w:p>
        </w:tc>
        <w:tc>
          <w:tcPr/>
          <w:p>
            <w:pPr>
              <w:pStyle w:val="Compact"/>
              <w:jc w:val="left"/>
            </w:pPr>
            <w:r>
              <w:t xml:space="preserve">All Essential + 12 Social Ads + Email Template</w:t>
            </w:r>
          </w:p>
        </w:tc>
      </w:tr>
      <w:tr>
        <w:tc>
          <w:tcPr/>
          <w:p>
            <w:pPr>
              <w:pStyle w:val="Compact"/>
              <w:jc w:val="left"/>
            </w:pPr>
            <w:r>
              <w:t xml:space="preserve">Corporate Full Solution</w:t>
            </w:r>
          </w:p>
        </w:tc>
        <w:tc>
          <w:tcPr/>
          <w:p>
            <w:pPr>
              <w:pStyle w:val="Compact"/>
              <w:jc w:val="left"/>
            </w:pPr>
            <w:r>
              <w:t xml:space="preserve">8,900</w:t>
            </w:r>
          </w:p>
        </w:tc>
        <w:tc>
          <w:tcPr/>
          <w:p>
            <w:pPr>
              <w:pStyle w:val="Compact"/>
              <w:jc w:val="left"/>
            </w:pPr>
            <w:r>
              <w:t xml:space="preserve">Brand Strategy Session + All Assets for Malaysia Market Launch</w:t>
            </w:r>
          </w:p>
        </w:tc>
      </w:tr>
    </w:tbl>
    <w:bookmarkEnd w:id="28"/>
    <w:bookmarkStart w:id="29" w:name="Xdcc5d8232b7c679fa3ee9be06277ddda0e35470"/>
    <w:p>
      <w:pPr>
        <w:pStyle w:val="Heading2"/>
      </w:pPr>
      <w:r>
        <w:t xml:space="preserve">KPIs &amp; Measurement (Malaysia Kuala Lumpur Focus)</w:t>
      </w:r>
    </w:p>
    <w:p>
      <w:pPr>
        <w:pStyle w:val="FirstParagraph"/>
      </w:pPr>
      <w:r>
        <w:t xml:space="preserve">We will track success through metrics relevant to the KL market:</w:t>
      </w:r>
    </w:p>
    <w:p>
      <w:pPr>
        <w:numPr>
          <w:ilvl w:val="0"/>
          <w:numId w:val="1005"/>
        </w:numPr>
        <w:pStyle w:val="Compact"/>
      </w:pPr>
      <w:r>
        <w:rPr>
          <w:bCs/>
          <w:b/>
        </w:rPr>
        <w:t xml:space="preserve">Client Acquisition Cost (CAC):</w:t>
      </w:r>
      <w:r>
        <w:t xml:space="preserve"> </w:t>
      </w:r>
      <w:r>
        <w:t xml:space="preserve">Target: Below RM 350 per lead in Malaysia Kuala Lumpur.</w:t>
      </w:r>
    </w:p>
    <w:p>
      <w:pPr>
        <w:numPr>
          <w:ilvl w:val="0"/>
          <w:numId w:val="1005"/>
        </w:numPr>
        <w:pStyle w:val="Compact"/>
      </w:pPr>
      <w:r>
        <w:rPr>
          <w:bCs/>
          <w:b/>
        </w:rPr>
        <w:t xml:space="preserve">KL Client Retention Rate:</w:t>
      </w:r>
      <w:r>
        <w:t xml:space="preserve"> </w:t>
      </w:r>
      <w:r>
        <w:t xml:space="preserve">Target: 70% within 6 months (industry avg. = 45%).</w:t>
      </w:r>
    </w:p>
    <w:p>
      <w:pPr>
        <w:numPr>
          <w:ilvl w:val="0"/>
          <w:numId w:val="1005"/>
        </w:numPr>
        <w:pStyle w:val="Compact"/>
      </w:pPr>
      <w:r>
        <w:rPr>
          <w:bCs/>
          <w:b/>
        </w:rPr>
        <w:t xml:space="preserve">Cultural Relevance Score:</w:t>
      </w:r>
      <w:r>
        <w:t xml:space="preserve"> </w:t>
      </w:r>
      <w:r>
        <w:t xml:space="preserve">Measured via client surveys on "Did the design resonate with Malaysia’s audience?"</w:t>
      </w:r>
    </w:p>
    <w:bookmarkEnd w:id="29"/>
    <w:bookmarkStart w:id="30" w:name="budget-allocation-first-12-months"/>
    <w:p>
      <w:pPr>
        <w:pStyle w:val="Heading2"/>
      </w:pPr>
      <w:r>
        <w:t xml:space="preserve">Budget Allocation (First 12 Months)</w:t>
      </w:r>
    </w:p>
    <w:p>
      <w:pPr>
        <w:pStyle w:val="FirstParagraph"/>
      </w:pPr>
      <w:r>
        <w:t xml:space="preserve">85% of marketing spend will target Malaysia Kuala Lumpur-specific channels:</w:t>
      </w:r>
    </w:p>
    <w:p>
      <w:pPr>
        <w:numPr>
          <w:ilvl w:val="0"/>
          <w:numId w:val="1006"/>
        </w:numPr>
        <w:pStyle w:val="Compact"/>
      </w:pPr>
      <w:r>
        <w:t xml:space="preserve">Online Ads (KL Geo-Targeting): 40%</w:t>
      </w:r>
    </w:p>
    <w:p>
      <w:pPr>
        <w:numPr>
          <w:ilvl w:val="0"/>
          <w:numId w:val="1006"/>
        </w:numPr>
        <w:pStyle w:val="Compact"/>
      </w:pPr>
      <w:r>
        <w:t xml:space="preserve">Local Events &amp; Partnerships: 30%</w:t>
      </w:r>
    </w:p>
    <w:p>
      <w:pPr>
        <w:numPr>
          <w:ilvl w:val="0"/>
          <w:numId w:val="1006"/>
        </w:numPr>
        <w:pStyle w:val="Compact"/>
      </w:pPr>
      <w:r>
        <w:t xml:space="preserve">Content Marketing (KL Case Studies): 25%</w:t>
      </w:r>
    </w:p>
    <w:p>
      <w:pPr>
        <w:numPr>
          <w:ilvl w:val="0"/>
          <w:numId w:val="1006"/>
        </w:numPr>
        <w:pStyle w:val="Compact"/>
      </w:pPr>
      <w:r>
        <w:t xml:space="preserve">Analytics Tools: 5%</w:t>
      </w:r>
    </w:p>
    <w:bookmarkEnd w:id="30"/>
    <w:bookmarkStart w:id="31" w:name="Xabca70f09de2f872fc5c9aba77ec1fe2cba7585"/>
    <w:p>
      <w:pPr>
        <w:pStyle w:val="Heading2"/>
      </w:pPr>
      <w:r>
        <w:t xml:space="preserve">Conclusion: Driving Growth in Malaysia Kuala Lumpur</w:t>
      </w:r>
    </w:p>
    <w:p>
      <w:pPr>
        <w:pStyle w:val="FirstParagraph"/>
      </w:pPr>
      <w:r>
        <w:t xml:space="preserve">This Marketing Plan positions our Graphic Designer not merely as a vendor, but as a strategic growth partner deeply embedded in the Malaysia Kuala Lumpur business ecosystem. By prioritizing cultural intelligence, local pricing, and hyper-targeted engagement within the city’s creative corridors—from Bangsar to Cheras—we will outperform competitors who offer generic global services. As KL continues its digital transformation journey, our focus on delivering culturally nuanced design solutions ensures we become the preferred Graphic Designer for brands seeking authentic connection in Malaysia Kuala Lumpur. The result? Sustainable client acquisition, premium pricing power, and measurable market leadership within this $230M Malaysian design industry.</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Graphic Designer Services in Malaysia Kuala Lumpur</dc:title>
  <dc:creator/>
  <dc:language>en</dc:language>
  <cp:keywords/>
  <dcterms:created xsi:type="dcterms:W3CDTF">2026-07-23T23:16:18Z</dcterms:created>
  <dcterms:modified xsi:type="dcterms:W3CDTF">2026-07-23T23:16:18Z</dcterms:modified>
</cp:coreProperties>
</file>

<file path=docProps/custom.xml><?xml version="1.0" encoding="utf-8"?>
<Properties xmlns="http://schemas.openxmlformats.org/officeDocument/2006/custom-properties" xmlns:vt="http://schemas.openxmlformats.org/officeDocument/2006/docPropsVTypes"/>
</file>