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Wellington,</w:t>
      </w:r>
      <w:r>
        <w:t xml:space="preserve"> </w:t>
      </w:r>
      <w:r>
        <w:t xml:space="preserve">New</w:t>
      </w:r>
      <w:r>
        <w:t xml:space="preserve"> </w:t>
      </w:r>
      <w:r>
        <w:t xml:space="preserve">Zealand</w:t>
      </w:r>
    </w:p>
    <w:bookmarkStart w:id="31" w:name="X608b5321e4256fdcee4346d9ddeaff5387e4175"/>
    <w:p>
      <w:pPr>
        <w:pStyle w:val="Heading1"/>
      </w:pPr>
      <w:r>
        <w:t xml:space="preserve">Comprehensive Marketing Plan for Graphic Designer Services Targeting Wellington, New Zealand</w:t>
      </w:r>
    </w:p>
    <w:bookmarkStart w:id="20" w:name="executive-summary"/>
    <w:p>
      <w:pPr>
        <w:pStyle w:val="Heading2"/>
      </w:pPr>
      <w:r>
        <w:t xml:space="preserve">Executive Summary</w:t>
      </w:r>
    </w:p>
    <w:p>
      <w:pPr>
        <w:pStyle w:val="FirstParagraph"/>
      </w:pPr>
      <w:r>
        <w:t xml:space="preserve">This Marketing Plan outlines a strategic approach to establish and grow a premium graphic design business within the vibrant creative ecosystem of Wellington, New Zealand. As the capital city of Aotearoa and home to major film studios, tech startups, and cultural institutions like Te Papa Tongarewa, Wellington presents an ideal market for specialized visual communication services. Our plan targets local businesses seeking to enhance their brand identity through professional</w:t>
      </w:r>
      <w:r>
        <w:t xml:space="preserve"> </w:t>
      </w:r>
      <w:r>
        <w:rPr>
          <w:iCs/>
          <w:i/>
        </w:rPr>
        <w:t xml:space="preserve">Graphic Designer</w:t>
      </w:r>
      <w:r>
        <w:t xml:space="preserve"> </w:t>
      </w:r>
      <w:r>
        <w:t xml:space="preserve">solutions while leveraging Wellington's unique creative culture. This strategy prioritizes community engagement and digital visibility to achieve 30% market penetration among small-to-medium enterprises (SMEs) in the Greater Wellington region within 18 months.</w:t>
      </w:r>
    </w:p>
    <w:bookmarkEnd w:id="20"/>
    <w:bookmarkStart w:id="21" w:name="X4fa1357db6cf7f56d59d47cfebd72ba2f2760a1"/>
    <w:p>
      <w:pPr>
        <w:pStyle w:val="Heading2"/>
      </w:pPr>
      <w:r>
        <w:t xml:space="preserve">Market Analysis: The Wellington Creative Landscape</w:t>
      </w:r>
    </w:p>
    <w:p>
      <w:pPr>
        <w:pStyle w:val="FirstParagraph"/>
      </w:pPr>
      <w:r>
        <w:t xml:space="preserve">Wellington's economy thrives on creativity, with over 15% of its workforce engaged in arts, culture, and design sectors according to Statistics New Zealand. The city hosts renowned studios like Weta Workshop and Park Road Post Production, generating consistent demand for high-quality visual assets. However, local SMEs face challenges in accessing affordable yet sophisticated</w:t>
      </w:r>
      <w:r>
        <w:t xml:space="preserve"> </w:t>
      </w:r>
      <w:r>
        <w:rPr>
          <w:iCs/>
          <w:i/>
        </w:rPr>
        <w:t xml:space="preserve">Graphic Designer</w:t>
      </w:r>
      <w:r>
        <w:t xml:space="preserve"> </w:t>
      </w:r>
      <w:r>
        <w:t xml:space="preserve">services that align with Wellington's distinct aesthetic—blending Māori cultural elements with contemporary Pacific design sensibilities. Competitor analysis reveals a gap: most agencies focus on generic corporate branding rather than hyper-localized solutions for Wellington businesses. Our plan addresses this by embedding deep understanding of local identity into every project, from Teal'c-inspired logos to Māori art integration in brand guidelines.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Startups (45%):</w:t>
      </w:r>
      <w:r>
        <w:t xml:space="preserve"> </w:t>
      </w:r>
      <w:r>
        <w:t xml:space="preserve">Tech and social enterprises in the CBD needing agile branding for pitch decks and digital products. Examples: Wellington-based fintech firms or sustainability startups like Rotorua's eco-tourism ventures expanding to the capital.</w:t>
      </w:r>
    </w:p>
    <w:p>
      <w:pPr>
        <w:numPr>
          <w:ilvl w:val="0"/>
          <w:numId w:val="1001"/>
        </w:numPr>
        <w:pStyle w:val="Compact"/>
      </w:pPr>
      <w:r>
        <w:rPr>
          <w:bCs/>
          <w:b/>
        </w:rPr>
        <w:t xml:space="preserve">Independent Businesses (30%):</w:t>
      </w:r>
      <w:r>
        <w:t xml:space="preserve"> </w:t>
      </w:r>
      <w:r>
        <w:t xml:space="preserve">Cafés, boutique retailers, and creative studios in Thorndon, Lambton Quay, and Newtown seeking cohesive visual identities that resonate with Wellington's "small city" charm.</w:t>
      </w:r>
    </w:p>
    <w:p>
      <w:pPr>
        <w:numPr>
          <w:ilvl w:val="0"/>
          <w:numId w:val="1001"/>
        </w:numPr>
        <w:pStyle w:val="Compact"/>
      </w:pPr>
      <w:r>
        <w:rPr>
          <w:bCs/>
          <w:b/>
        </w:rPr>
        <w:t xml:space="preserve">Cultural Institutions (25%):</w:t>
      </w:r>
      <w:r>
        <w:t xml:space="preserve"> </w:t>
      </w:r>
      <w:r>
        <w:t xml:space="preserve">Museums like Te Papa Tongarewa or community arts groups requiring culturally appropriate design for exhibitions and publications.</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70% recognition among target businesses in Wellington within 12 months through hyper-localized campaigns.</w:t>
      </w:r>
    </w:p>
    <w:p>
      <w:pPr>
        <w:numPr>
          <w:ilvl w:val="0"/>
          <w:numId w:val="1002"/>
        </w:numPr>
        <w:pStyle w:val="Compact"/>
      </w:pPr>
      <w:r>
        <w:rPr>
          <w:bCs/>
          <w:b/>
        </w:rPr>
        <w:t xml:space="preserve">Customer Acquisition:</w:t>
      </w:r>
      <w:r>
        <w:t xml:space="preserve"> </w:t>
      </w:r>
      <w:r>
        <w:t xml:space="preserve">Secure 40 new clients from the Greater Wellington region by Month 18, with a focus on first-time bookings for branding packages.</w:t>
      </w:r>
    </w:p>
    <w:p>
      <w:pPr>
        <w:numPr>
          <w:ilvl w:val="0"/>
          <w:numId w:val="1002"/>
        </w:numPr>
        <w:pStyle w:val="Compact"/>
      </w:pPr>
      <w:r>
        <w:rPr>
          <w:bCs/>
          <w:b/>
        </w:rPr>
        <w:t xml:space="preserve">Community Positioning:</w:t>
      </w:r>
      <w:r>
        <w:t xml:space="preserve"> </w:t>
      </w:r>
      <w:r>
        <w:t xml:space="preserve">Become the go-to</w:t>
      </w:r>
      <w:r>
        <w:t xml:space="preserve"> </w:t>
      </w:r>
      <w:r>
        <w:rPr>
          <w:iCs/>
          <w:i/>
        </w:rPr>
        <w:t xml:space="preserve">Graphic Designer</w:t>
      </w:r>
      <w:r>
        <w:t xml:space="preserve"> </w:t>
      </w:r>
      <w:r>
        <w:t xml:space="preserve">partner for Wellington's Creative Industries Network events and local government initiatives.</w:t>
      </w:r>
    </w:p>
    <w:bookmarkEnd w:id="23"/>
    <w:bookmarkStart w:id="27" w:name="strategic-marketing-tactics"/>
    <w:p>
      <w:pPr>
        <w:pStyle w:val="Heading2"/>
      </w:pPr>
      <w:r>
        <w:t xml:space="preserve">Strategic Marketing Tactics</w:t>
      </w:r>
    </w:p>
    <w:bookmarkStart w:id="24" w:name="tactic-1-hyper-local-digital-presence"/>
    <w:p>
      <w:pPr>
        <w:pStyle w:val="Heading3"/>
      </w:pPr>
      <w:r>
        <w:t xml:space="preserve">Tactic 1: Hyper-Local Digital Presence</w:t>
      </w:r>
    </w:p>
    <w:p>
      <w:pPr>
        <w:pStyle w:val="FirstParagraph"/>
      </w:pPr>
      <w:r>
        <w:t xml:space="preserve">We'll optimize all online channels for "Wellington Graphic Designer" search intent. This includes:</w:t>
      </w:r>
    </w:p>
    <w:p>
      <w:pPr>
        <w:numPr>
          <w:ilvl w:val="0"/>
          <w:numId w:val="1003"/>
        </w:numPr>
        <w:pStyle w:val="Compact"/>
      </w:pPr>
      <w:r>
        <w:t xml:space="preserve">SEO content targeting phrases like "branding agency Wellington," "Māori design consultant New Zealand," and "affordable logo designer Wellington CBD."</w:t>
      </w:r>
    </w:p>
    <w:p>
      <w:pPr>
        <w:numPr>
          <w:ilvl w:val="0"/>
          <w:numId w:val="1003"/>
        </w:numPr>
        <w:pStyle w:val="Compact"/>
      </w:pPr>
      <w:r>
        <w:t xml:space="preserve">Google Ads campaigns geo-fenced to 10km radius of central Wellington, highlighting local landmarks (e.g., Te Papa, Cuba Street) in ad copy.</w:t>
      </w:r>
    </w:p>
    <w:p>
      <w:pPr>
        <w:numPr>
          <w:ilvl w:val="0"/>
          <w:numId w:val="1003"/>
        </w:numPr>
        <w:pStyle w:val="Compact"/>
      </w:pPr>
      <w:r>
        <w:t xml:space="preserve">A dedicated "Wellington Stories" portfolio section showcasing case studies with location-specific context (e.g., "Branding for a Queen's Wharf café using Kāpiti Island coastal motifs").</w:t>
      </w:r>
    </w:p>
    <w:bookmarkEnd w:id="24"/>
    <w:bookmarkStart w:id="25" w:name="X310bfc184db82665b55b93aaeca34e7ea92649b"/>
    <w:p>
      <w:pPr>
        <w:pStyle w:val="Heading3"/>
      </w:pPr>
      <w:r>
        <w:t xml:space="preserve">Tactic 2: Community Integration in New Zealand Wellington</w:t>
      </w:r>
    </w:p>
    <w:p>
      <w:pPr>
        <w:pStyle w:val="FirstParagraph"/>
      </w:pPr>
      <w:r>
        <w:t xml:space="preserve">Building trust requires active participation in Wellington’s creative fabric:</w:t>
      </w:r>
    </w:p>
    <w:p>
      <w:pPr>
        <w:numPr>
          <w:ilvl w:val="0"/>
          <w:numId w:val="1004"/>
        </w:numPr>
        <w:pStyle w:val="Compact"/>
      </w:pPr>
      <w:r>
        <w:t xml:space="preserve">Sponsorship of "Wellington Design Week" with free workshops on "Visual Storytelling for Local Businesses."</w:t>
      </w:r>
    </w:p>
    <w:p>
      <w:pPr>
        <w:numPr>
          <w:ilvl w:val="0"/>
          <w:numId w:val="1004"/>
        </w:numPr>
        <w:pStyle w:val="Compact"/>
      </w:pPr>
      <w:r>
        <w:t xml:space="preserve">Partnerships with the Wellington City Council's Creative Industries Unit to provide discounted design audits for eligible SMEs.</w:t>
      </w:r>
    </w:p>
    <w:p>
      <w:pPr>
        <w:numPr>
          <w:ilvl w:val="0"/>
          <w:numId w:val="1004"/>
        </w:numPr>
        <w:pStyle w:val="Compact"/>
      </w:pPr>
      <w:r>
        <w:t xml:space="preserve">Collaboration with local Māori arts collective (e.g., Te Papa’s iwi partners) to co-create culturally nuanced branding guidelines, emphasizing Te Tiriti o Waitangi principles.</w:t>
      </w:r>
    </w:p>
    <w:bookmarkEnd w:id="25"/>
    <w:bookmarkStart w:id="26" w:name="tactic-3-value-driven-service-bundling"/>
    <w:p>
      <w:pPr>
        <w:pStyle w:val="Heading3"/>
      </w:pPr>
      <w:r>
        <w:t xml:space="preserve">Tactic 3: Value-Driven Service Bundling</w:t>
      </w:r>
    </w:p>
    <w:p>
      <w:pPr>
        <w:pStyle w:val="FirstParagraph"/>
      </w:pPr>
      <w:r>
        <w:t xml:space="preserve">Designed specifically for Wellington's market needs:</w:t>
      </w:r>
    </w:p>
    <w:p>
      <w:pPr>
        <w:numPr>
          <w:ilvl w:val="0"/>
          <w:numId w:val="1005"/>
        </w:numPr>
        <w:pStyle w:val="Compact"/>
      </w:pPr>
      <w:r>
        <w:rPr>
          <w:bCs/>
          <w:b/>
        </w:rPr>
        <w:t xml:space="preserve">Wellington Starter Pack:</w:t>
      </w:r>
      <w:r>
        <w:t xml:space="preserve"> </w:t>
      </w:r>
      <w:r>
        <w:t xml:space="preserve">$990 (includes logo, business card, social media kit) – priced 20% below national average.</w:t>
      </w:r>
    </w:p>
    <w:p>
      <w:pPr>
        <w:numPr>
          <w:ilvl w:val="0"/>
          <w:numId w:val="1005"/>
        </w:numPr>
        <w:pStyle w:val="Compact"/>
      </w:pPr>
      <w:r>
        <w:rPr>
          <w:bCs/>
          <w:b/>
        </w:rPr>
        <w:t xml:space="preserve">Cultural Connection Package:</w:t>
      </w:r>
      <w:r>
        <w:t xml:space="preserve"> </w:t>
      </w:r>
      <w:r>
        <w:t xml:space="preserve">$1,850 – incorporates Māori design elements with client consent and local art references.</w:t>
      </w:r>
    </w:p>
    <w:p>
      <w:pPr>
        <w:numPr>
          <w:ilvl w:val="0"/>
          <w:numId w:val="1005"/>
        </w:numPr>
        <w:pStyle w:val="Compact"/>
      </w:pPr>
      <w:r>
        <w:rPr>
          <w:bCs/>
          <w:b/>
        </w:rPr>
        <w:t xml:space="preserve">Fast-Track Wellington Launch:</w:t>
      </w:r>
      <w:r>
        <w:t xml:space="preserve"> </w:t>
      </w:r>
      <w:r>
        <w:t xml:space="preserve">3-day turnaround for time-sensitive events like the annual "Wellington Marathon" or "New Zealand International Film Festival."</w:t>
      </w:r>
    </w:p>
    <w:bookmarkEnd w:id="26"/>
    <w:bookmarkEnd w:id="27"/>
    <w:bookmarkStart w:id="28" w:name="budget-allocation-18-month-timeline"/>
    <w:p>
      <w:pPr>
        <w:pStyle w:val="Heading2"/>
      </w:pPr>
      <w:r>
        <w:t xml:space="preserve">Budget Allocation (18-Month Timeline)</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(40%)</w:t>
      </w:r>
    </w:p>
    <w:p>
      <w:pPr>
        <w:pStyle w:val="BodyText"/>
      </w:pPr>
      <w:r>
        <w:t xml:space="preserve">$12,000</w:t>
      </w:r>
    </w:p>
    <w:p>
      <w:pPr>
        <w:pStyle w:val="BodyText"/>
      </w:pPr>
      <w:r>
        <w:t xml:space="preserve">SEO, Google Ads, social media content for Wellington-focused platforms (e.g., Wellington Online)</w:t>
      </w:r>
    </w:p>
    <w:p>
      <w:pPr>
        <w:pStyle w:val="BodyText"/>
      </w:pPr>
      <w:r>
        <w:t xml:space="preserve">Community Engagement (35%)</w:t>
      </w:r>
    </w:p>
    <w:p>
      <w:pPr>
        <w:pStyle w:val="BodyText"/>
      </w:pPr>
      <w:r>
        <w:t xml:space="preserve">$10,500</w:t>
      </w:r>
    </w:p>
    <w:p>
      <w:pPr>
        <w:pStyle w:val="BodyText"/>
      </w:pPr>
      <w:r>
        <w:t xml:space="preserve">&lt;</w:t>
      </w:r>
    </w:p>
    <w:p>
      <w:pPr>
        <w:pStyle w:val="BodyText"/>
      </w:pPr>
      <w:r>
        <w:t xml:space="preserve">Sponsorships, workshop costs, partnership development with local arts groups</w:t>
      </w:r>
    </w:p>
    <w:p>
      <w:pPr>
        <w:pStyle w:val="BodyText"/>
      </w:pPr>
      <w:r>
        <w:t xml:space="preserve">Content Creation (15%)</w:t>
      </w:r>
    </w:p>
    <w:p>
      <w:pPr>
        <w:pStyle w:val="BodyText"/>
      </w:pPr>
      <w:r>
        <w:t xml:space="preserve">$4,500</w:t>
      </w:r>
    </w:p>
    <w:p>
      <w:pPr>
        <w:pStyle w:val="BodyText"/>
      </w:pPr>
      <w:r>
        <w:t xml:space="preserve">Portfolio case studies featuring Wellington locations and clients</w:t>
      </w:r>
    </w:p>
    <w:p>
      <w:pPr>
        <w:pStyle w:val="BodyText"/>
      </w:pPr>
      <w:r>
        <w:t xml:space="preserve">Analytics &amp; Optimization (10%)</w:t>
      </w:r>
    </w:p>
    <w:p>
      <w:pPr>
        <w:pStyle w:val="BodyText"/>
      </w:pPr>
      <w:r>
        <w:t xml:space="preserve">$3,000</w:t>
      </w:r>
    </w:p>
    <w:bookmarkEnd w:id="28"/>
    <w:bookmarkStart w:id="29" w:name="Xe1312962372e7eef5e6adc8b2f70b98a5557bca"/>
    <w:p>
      <w:pPr>
        <w:pStyle w:val="Heading2"/>
      </w:pPr>
      <w:r>
        <w:t xml:space="preserve">Evaluation Framework: Measuring Success in New Zealand Wellington Context</w:t>
      </w:r>
    </w:p>
    <w:p>
      <w:pPr>
        <w:pStyle w:val="FirstParagraph"/>
      </w:pPr>
      <w:r>
        <w:t xml:space="preserve">We'll track KPIs aligned with Wellington's business landscape:</w:t>
      </w:r>
    </w:p>
    <w:p>
      <w:pPr>
        <w:numPr>
          <w:ilvl w:val="0"/>
          <w:numId w:val="1006"/>
        </w:numPr>
        <w:pStyle w:val="Compact"/>
      </w:pPr>
      <w:r>
        <w:rPr>
          <w:bCs/>
          <w:b/>
        </w:rPr>
        <w:t xml:space="preserve">Local Engagement Rate:</w:t>
      </w:r>
      <w:r>
        <w:t xml:space="preserve"> </w:t>
      </w:r>
      <w:r>
        <w:t xml:space="preserve">% of clients acquired from within 15km of Te Papa (target: 85%)</w:t>
      </w:r>
    </w:p>
    <w:p>
      <w:pPr>
        <w:numPr>
          <w:ilvl w:val="0"/>
          <w:numId w:val="1006"/>
        </w:numPr>
        <w:pStyle w:val="Compact"/>
      </w:pPr>
      <w:r>
        <w:rPr>
          <w:bCs/>
          <w:b/>
        </w:rPr>
        <w:t xml:space="preserve">Cultural Relevance Score:</w:t>
      </w:r>
      <w:r>
        <w:t xml:space="preserve"> </w:t>
      </w:r>
      <w:r>
        <w:t xml:space="preserve">Client surveys rating "Māori design integration" (target: 4.7/5)</w:t>
      </w:r>
    </w:p>
    <w:p>
      <w:pPr>
        <w:numPr>
          <w:ilvl w:val="0"/>
          <w:numId w:val="1006"/>
        </w:numPr>
        <w:pStyle w:val="Compact"/>
      </w:pPr>
      <w:r>
        <w:rPr>
          <w:bCs/>
          <w:b/>
        </w:rPr>
        <w:t xml:space="preserve">Social Proof in Wellington Media:</w:t>
      </w:r>
      <w:r>
        <w:t xml:space="preserve"> </w:t>
      </w:r>
      <w:r>
        <w:t xml:space="preserve">Mentions in local press like The Dominion Post, New Zealand Herald’s Wellington edition</w:t>
      </w:r>
    </w:p>
    <w:p>
      <w:pPr>
        <w:numPr>
          <w:ilvl w:val="0"/>
          <w:numId w:val="1006"/>
        </w:numPr>
        <w:pStyle w:val="Compact"/>
      </w:pPr>
      <w:r>
        <w:rPr>
          <w:bCs/>
          <w:b/>
        </w:rPr>
        <w:t xml:space="preserve">Repeat Business Rate:</w:t>
      </w:r>
      <w:r>
        <w:t xml:space="preserve"> </w:t>
      </w:r>
      <w:r>
        <w:t xml:space="preserve">Target 35% of clients expanding to full brand system after initial project</w:t>
      </w:r>
    </w:p>
    <w:bookmarkEnd w:id="29"/>
    <w:bookmarkStart w:id="30" w:name="Xac280018686cd458040848e26af12310bdaa4ec"/>
    <w:p>
      <w:pPr>
        <w:pStyle w:val="Heading2"/>
      </w:pPr>
      <w:r>
        <w:t xml:space="preserve">Conclusion: Embracing Wellington's Creative Spirit</w:t>
      </w:r>
    </w:p>
    <w:p>
      <w:pPr>
        <w:pStyle w:val="FirstParagraph"/>
      </w:pPr>
      <w:r>
        <w:t xml:space="preserve">This Marketing Plan positions our</w:t>
      </w:r>
      <w:r>
        <w:t xml:space="preserve"> </w:t>
      </w:r>
      <w:r>
        <w:rPr>
          <w:iCs/>
          <w:i/>
        </w:rPr>
        <w:t xml:space="preserve">Graphic Designer</w:t>
      </w:r>
      <w:r>
        <w:t xml:space="preserve"> </w:t>
      </w:r>
      <w:r>
        <w:t xml:space="preserve">service not as a generic vendor, but as an essential partner within the New Zealand Wellington ecosystem. By prioritizing genuine community investment over transactional marketing—through Māori cultural collaboration, hyper-local SEO strategies, and pricing reflecting Wellington’s cost of living—we will establish unshakable credibility. Success will be measured not just in revenue, but in contributing to the city's visual identity: making every logo tell a story of where it belongs—Wellington. As local businesses increasingly recognize that effective branding requires understanding place-specific narratives, our strategic focus on New Zealand Wellington ensures sustainable growth within one of the world’s most creatively dynamic cities.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Wellington, New Zealand</dc:title>
  <dc:creator/>
  <dc:language>en</dc:language>
  <cp:keywords/>
  <dcterms:created xsi:type="dcterms:W3CDTF">2025-12-12T11:15:25Z</dcterms:created>
  <dcterms:modified xsi:type="dcterms:W3CDTF">2025-12-12T11:15:25Z</dcterms:modified>
</cp:coreProperties>
</file>

<file path=docProps/custom.xml><?xml version="1.0" encoding="utf-8"?>
<Properties xmlns="http://schemas.openxmlformats.org/officeDocument/2006/custom-properties" xmlns:vt="http://schemas.openxmlformats.org/officeDocument/2006/docPropsVTypes"/>
</file>