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Moscow,</w:t>
      </w:r>
      <w:r>
        <w:t xml:space="preserve"> </w:t>
      </w:r>
      <w:r>
        <w:t xml:space="preserve">Russia</w:t>
      </w:r>
    </w:p>
    <w:bookmarkStart w:id="31" w:name="X46e5f0cff6d66c566586099092a414393dc64de"/>
    <w:p>
      <w:pPr>
        <w:pStyle w:val="Heading1"/>
      </w:pPr>
      <w:r>
        <w:t xml:space="preserve">Marketing Plan: Industrial Engineering Solutions for Moscow's Industrial Sector, Russia</w:t>
      </w:r>
    </w:p>
    <w:bookmarkStart w:id="20" w:name="executive-summary"/>
    <w:p>
      <w:pPr>
        <w:pStyle w:val="Heading2"/>
      </w:pPr>
      <w:r>
        <w:t xml:space="preserve">Executive Summary</w:t>
      </w:r>
    </w:p>
    <w:p>
      <w:pPr>
        <w:pStyle w:val="FirstParagraph"/>
      </w:pPr>
      <w:r>
        <w:t xml:space="preserve">This Marketing Plan outlines a strategic approach to position and promote specialized Industrial Engineering services targeting key industries across Moscow, Russia. With Russia’s industrial sector facing unprecedented pressures from global market shifts and sanctions, there is a critical demand for operational efficiency, waste reduction, and process optimization. Our Industrial Engineering solutions are tailored to address Moscow’s unique manufacturing challenges—spanning automotive assembly lines in Krasnogorsk, aerospace logistics in Zhukovsky, and metallurgical plants across the Moscow region—providing data-driven outcomes that align with Russian industrial standards (GOST) and economic priorities. This plan details how we will penetrate the Moscow market within 18 months, capturing 15% market share among mid-to-large industrial clients through localized value propositions.</w:t>
      </w:r>
    </w:p>
    <w:bookmarkEnd w:id="20"/>
    <w:bookmarkStart w:id="21" w:name="X83a3e2aa874b0346b4559ab498ea972ce6f1582"/>
    <w:p>
      <w:pPr>
        <w:pStyle w:val="Heading2"/>
      </w:pPr>
      <w:r>
        <w:t xml:space="preserve">Market Analysis: Industrial Engineering Demand in Moscow, Russia</w:t>
      </w:r>
    </w:p>
    <w:p>
      <w:pPr>
        <w:pStyle w:val="FirstParagraph"/>
      </w:pPr>
      <w:r>
        <w:t xml:space="preserve">Moscow is Russia’s industrial nerve center, housing over 30% of the nation’s manufacturing capacity. However, legacy infrastructure and supply chain disruptions have created a $1.2B productivity gap for Russian manufacturers (Rosstat, 2023). A survey of Moscow-based factories revealed that 78% struggle with inefficient workflows, while only 12% leverage dedicated Industrial Engineering teams—indicating a severe talent and solution deficit. Sanctions have accelerated demand for *localized* Industrial Engineering expertise that understands Russia’s regulatory environment (GOST compliance), supply chain realities, and labor dynamics. Competitors are limited to Western consultancies offering generic solutions; none specialize in Moscow’s context or speak fluent Russian with technical fluency.</w:t>
      </w:r>
    </w:p>
    <w:bookmarkEnd w:id="21"/>
    <w:bookmarkStart w:id="22" w:name="Xa2af08fae24b41fb2dc9aeac408a9aff48c0215"/>
    <w:p>
      <w:pPr>
        <w:pStyle w:val="Heading2"/>
      </w:pPr>
      <w:r>
        <w:t xml:space="preserve">Target Audience: Industrial Decision-Makers in Moscow</w:t>
      </w:r>
    </w:p>
    <w:p>
      <w:pPr>
        <w:numPr>
          <w:ilvl w:val="0"/>
          <w:numId w:val="1001"/>
        </w:numPr>
        <w:pStyle w:val="Compact"/>
      </w:pPr>
      <w:r>
        <w:rPr>
          <w:bCs/>
          <w:b/>
        </w:rPr>
        <w:t xml:space="preserve">Manufacturing Executives:</w:t>
      </w:r>
      <w:r>
        <w:t xml:space="preserve"> </w:t>
      </w:r>
      <w:r>
        <w:t xml:space="preserve">Plant managers at firms like AvtoVAZ (Moscow regional plants), UralVagonZavod, and Siemens Russia seeking to reduce downtime.</w:t>
      </w:r>
    </w:p>
    <w:p>
      <w:pPr>
        <w:numPr>
          <w:ilvl w:val="0"/>
          <w:numId w:val="1001"/>
        </w:numPr>
        <w:pStyle w:val="Compact"/>
      </w:pPr>
      <w:r>
        <w:rPr>
          <w:bCs/>
          <w:b/>
        </w:rPr>
        <w:t xml:space="preserve">Logistics Directors:</w:t>
      </w:r>
      <w:r>
        <w:t xml:space="preserve"> </w:t>
      </w:r>
      <w:r>
        <w:t xml:space="preserve">In Moscow’s 35+ industrial parks (e.g., Istra, Lyubertsy) needing supply chain resilience post-sanctions.</w:t>
      </w:r>
    </w:p>
    <w:p>
      <w:pPr>
        <w:numPr>
          <w:ilvl w:val="0"/>
          <w:numId w:val="1001"/>
        </w:numPr>
        <w:pStyle w:val="Compact"/>
      </w:pPr>
      <w:r>
        <w:rPr>
          <w:bCs/>
          <w:b/>
        </w:rPr>
        <w:t xml:space="preserve">Russian Federal Agencies:</w:t>
      </w:r>
      <w:r>
        <w:t xml:space="preserve"> </w:t>
      </w:r>
      <w:r>
        <w:t xml:space="preserve">Rosatom and Rostec subsidiaries requiring GOST-compliant process audits for state-owned enterprises.</w:t>
      </w:r>
    </w:p>
    <w:bookmarkEnd w:id="22"/>
    <w:bookmarkStart w:id="23" w:name="unique-value-proposition"/>
    <w:p>
      <w:pPr>
        <w:pStyle w:val="Heading2"/>
      </w:pPr>
      <w:r>
        <w:t xml:space="preserve">Unique Value Proposition</w:t>
      </w:r>
    </w:p>
    <w:p>
      <w:pPr>
        <w:pStyle w:val="FirstParagraph"/>
      </w:pPr>
      <w:r>
        <w:t xml:space="preserve">We deliver Industrial Engineering services that are *Russia-first*, combining global best practices with deep Moscow operational knowledge. Unlike competitors, our team includes certified Industrial Engineers fluent in Russian, familiar with local supply chains (e.g., sourcing from Ural Mountains suppliers), and trained on GOST 23170-99 (Industrial Organization Standards). Our core services include:</w:t>
      </w:r>
    </w:p>
    <w:p>
      <w:pPr>
        <w:numPr>
          <w:ilvl w:val="0"/>
          <w:numId w:val="1002"/>
        </w:numPr>
        <w:pStyle w:val="Compact"/>
      </w:pPr>
      <w:r>
        <w:rPr>
          <w:bCs/>
          <w:b/>
        </w:rPr>
        <w:t xml:space="preserve">Workflow Optimization:</w:t>
      </w:r>
      <w:r>
        <w:t xml:space="preserve"> </w:t>
      </w:r>
      <w:r>
        <w:t xml:space="preserve">Reducing assembly line waste by 25–40% for Moscow automotive plants using real-time IoT data.</w:t>
      </w:r>
    </w:p>
    <w:p>
      <w:pPr>
        <w:numPr>
          <w:ilvl w:val="0"/>
          <w:numId w:val="1002"/>
        </w:numPr>
        <w:pStyle w:val="Compact"/>
      </w:pPr>
      <w:r>
        <w:rPr>
          <w:bCs/>
          <w:b/>
        </w:rPr>
        <w:t xml:space="preserve">Supply Chain Resilience Programs:</w:t>
      </w:r>
      <w:r>
        <w:t xml:space="preserve"> </w:t>
      </w:r>
      <w:r>
        <w:t xml:space="preserve">Building alternative logistics routes for Russian industrial parks amid sanctions.</w:t>
      </w:r>
    </w:p>
    <w:p>
      <w:pPr>
        <w:numPr>
          <w:ilvl w:val="0"/>
          <w:numId w:val="1002"/>
        </w:numPr>
        <w:pStyle w:val="Compact"/>
      </w:pPr>
      <w:r>
        <w:rPr>
          <w:bCs/>
          <w:b/>
        </w:rPr>
        <w:t xml:space="preserve">GOST-Compliant Process Audits:</w:t>
      </w:r>
      <w:r>
        <w:t xml:space="preserve"> </w:t>
      </w:r>
      <w:r>
        <w:t xml:space="preserve">Ensuring compliance while cutting operational costs by 30% (validated in Moscow metalworks case study).</w:t>
      </w:r>
    </w:p>
    <w:bookmarkEnd w:id="23"/>
    <w:bookmarkStart w:id="26" w:name="marketing-sales-strategy"/>
    <w:p>
      <w:pPr>
        <w:pStyle w:val="Heading2"/>
      </w:pPr>
      <w:r>
        <w:t xml:space="preserve">Marketing &amp; Sales Strategy</w:t>
      </w:r>
    </w:p>
    <w:p>
      <w:pPr>
        <w:pStyle w:val="FirstParagraph"/>
      </w:pPr>
      <w:r>
        <w:t xml:space="preserve">We adopt a dual-track approach: digital precision targeting and high-trust relationship building within Moscow’s industrial ecosystem.</w:t>
      </w:r>
    </w:p>
    <w:bookmarkStart w:id="24" w:name="digital-lead-generation-moscow-specific"/>
    <w:p>
      <w:pPr>
        <w:pStyle w:val="Heading3"/>
      </w:pPr>
      <w:r>
        <w:t xml:space="preserve">1. Digital Lead Generation (Moscow-Specific)</w:t>
      </w:r>
    </w:p>
    <w:p>
      <w:pPr>
        <w:numPr>
          <w:ilvl w:val="0"/>
          <w:numId w:val="1003"/>
        </w:numPr>
        <w:pStyle w:val="Compact"/>
      </w:pPr>
      <w:r>
        <w:rPr>
          <w:bCs/>
          <w:b/>
        </w:rPr>
        <w:t xml:space="preserve">Localized LinkedIn Campaigns:</w:t>
      </w:r>
      <w:r>
        <w:t xml:space="preserve"> </w:t>
      </w:r>
      <w:r>
        <w:t xml:space="preserve">Targeting "Plant Manager" titles at Moscow-based manufacturers with content like "How a Volga Region Auto Plant Cut Costs 37% Using Industrial Engineering (Case Study, Moscow, Russia)."</w:t>
      </w:r>
    </w:p>
    <w:p>
      <w:pPr>
        <w:numPr>
          <w:ilvl w:val="0"/>
          <w:numId w:val="1003"/>
        </w:numPr>
        <w:pStyle w:val="Compact"/>
      </w:pPr>
      <w:r>
        <w:rPr>
          <w:bCs/>
          <w:b/>
        </w:rPr>
        <w:t xml:space="preserve">Russian SEO Strategy:</w:t>
      </w:r>
      <w:r>
        <w:t xml:space="preserve"> </w:t>
      </w:r>
      <w:r>
        <w:t xml:space="preserve">Optimizing for keywords like "промышленный инженер Москва" and "оптимизация производства Россия" to capture high-intent local searches.</w:t>
      </w:r>
    </w:p>
    <w:p>
      <w:pPr>
        <w:numPr>
          <w:ilvl w:val="0"/>
          <w:numId w:val="1003"/>
        </w:numPr>
        <w:pStyle w:val="Compact"/>
      </w:pPr>
      <w:r>
        <w:rPr>
          <w:bCs/>
          <w:b/>
        </w:rPr>
        <w:t xml:space="preserve">Webinars with Local Partners:</w:t>
      </w:r>
      <w:r>
        <w:t xml:space="preserve"> </w:t>
      </w:r>
      <w:r>
        <w:t xml:space="preserve">Co-hosting sessions with Moscow Industrial Association (MIA) on topics like "Sanctions-Proof Manufacturing in 2024."</w:t>
      </w:r>
    </w:p>
    <w:bookmarkEnd w:id="24"/>
    <w:bookmarkStart w:id="25" w:name="relationship-building-in-moscow"/>
    <w:p>
      <w:pPr>
        <w:pStyle w:val="Heading3"/>
      </w:pPr>
      <w:r>
        <w:t xml:space="preserve">2. Relationship Building in Moscow</w:t>
      </w:r>
    </w:p>
    <w:p>
      <w:pPr>
        <w:numPr>
          <w:ilvl w:val="0"/>
          <w:numId w:val="1004"/>
        </w:numPr>
        <w:pStyle w:val="Compact"/>
      </w:pPr>
      <w:r>
        <w:rPr>
          <w:bCs/>
          <w:b/>
        </w:rPr>
        <w:t xml:space="preserve">Strategic Alliances:</w:t>
      </w:r>
      <w:r>
        <w:t xml:space="preserve"> </w:t>
      </w:r>
      <w:r>
        <w:t xml:space="preserve">Partnering with Russian engineering universities (e.g., Bauman Moscow State Technical University) to co-develop Industrial Engineering training for local talent.</w:t>
      </w:r>
    </w:p>
    <w:p>
      <w:pPr>
        <w:numPr>
          <w:ilvl w:val="0"/>
          <w:numId w:val="1004"/>
        </w:numPr>
        <w:pStyle w:val="Compact"/>
      </w:pPr>
      <w:r>
        <w:rPr>
          <w:bCs/>
          <w:b/>
        </w:rPr>
        <w:t xml:space="preserve">Industry Events:</w:t>
      </w:r>
      <w:r>
        <w:t xml:space="preserve"> </w:t>
      </w:r>
      <w:r>
        <w:t xml:space="preserve">Sponsorship at Moscow’s largest industrial trade shows (e.g., "Manufacturing Russia Expo") with live demos of process optimization tools.</w:t>
      </w:r>
    </w:p>
    <w:p>
      <w:pPr>
        <w:numPr>
          <w:ilvl w:val="0"/>
          <w:numId w:val="1004"/>
        </w:numPr>
        <w:pStyle w:val="Compact"/>
      </w:pPr>
      <w:r>
        <w:rPr>
          <w:bCs/>
          <w:b/>
        </w:rPr>
        <w:t xml:space="preserve">Referral Network:</w:t>
      </w:r>
      <w:r>
        <w:t xml:space="preserve"> </w:t>
      </w:r>
      <w:r>
        <w:t xml:space="preserve">Incentivizing existing clients (e.g., a Moscow aerospace supplier) to refer peers via 15% discount on next service.</w:t>
      </w:r>
    </w:p>
    <w:bookmarkEnd w:id="25"/>
    <w:bookmarkEnd w:id="26"/>
    <w:bookmarkStart w:id="27" w:name="pricing-positioning"/>
    <w:p>
      <w:pPr>
        <w:pStyle w:val="Heading2"/>
      </w:pPr>
      <w:r>
        <w:t xml:space="preserve">Pricing &amp; Positioning</w:t>
      </w:r>
    </w:p>
    <w:p>
      <w:pPr>
        <w:pStyle w:val="FirstParagraph"/>
      </w:pPr>
      <w:r>
        <w:t xml:space="preserve">We position our Industrial Engineering services as a strategic investment, not an expense. Pricing tiers are structured for Moscow’s market:</w:t>
      </w:r>
    </w:p>
    <w:p>
      <w:pPr>
        <w:numPr>
          <w:ilvl w:val="0"/>
          <w:numId w:val="1005"/>
        </w:numPr>
        <w:pStyle w:val="Compact"/>
      </w:pPr>
      <w:r>
        <w:rPr>
          <w:bCs/>
          <w:b/>
        </w:rPr>
        <w:t xml:space="preserve">Essential Audit:</w:t>
      </w:r>
      <w:r>
        <w:t xml:space="preserve"> </w:t>
      </w:r>
      <w:r>
        <w:t xml:space="preserve">450,000 RUB (3-day GOST-compliant process review for small plants).</w:t>
      </w:r>
    </w:p>
    <w:p>
      <w:pPr>
        <w:numPr>
          <w:ilvl w:val="0"/>
          <w:numId w:val="1005"/>
        </w:numPr>
        <w:pStyle w:val="Compact"/>
      </w:pPr>
      <w:r>
        <w:rPr>
          <w:bCs/>
          <w:b/>
        </w:rPr>
        <w:t xml:space="preserve">Optimization Suite:</w:t>
      </w:r>
      <w:r>
        <w:t xml:space="preserve"> </w:t>
      </w:r>
      <w:r>
        <w:t xml:space="preserve">1.8M RUB (6-month implementation including IoT integration for medium factories).</w:t>
      </w:r>
    </w:p>
    <w:p>
      <w:pPr>
        <w:numPr>
          <w:ilvl w:val="0"/>
          <w:numId w:val="1005"/>
        </w:numPr>
        <w:pStyle w:val="Compact"/>
      </w:pPr>
      <w:r>
        <w:rPr>
          <w:bCs/>
          <w:b/>
        </w:rPr>
        <w:t xml:space="preserve">Nationwide Enterprise Plan:</w:t>
      </w:r>
      <w:r>
        <w:t xml:space="preserve"> </w:t>
      </w:r>
      <w:r>
        <w:t xml:space="preserve">Custom pricing (includes training for Moscow plant teams + annual compliance updates).</w:t>
      </w:r>
    </w:p>
    <w:p>
      <w:pPr>
        <w:pStyle w:val="FirstParagraph"/>
      </w:pPr>
      <w:r>
        <w:t xml:space="preserve">This pricing aligns with Moscow industry benchmarks, where clients report ROI within 4–6 months through reduced scrap rates and energy savings—critical amid Russia’s current economic climate.</w:t>
      </w:r>
    </w:p>
    <w:bookmarkEnd w:id="27"/>
    <w:bookmarkStart w:id="28" w:name="operational-plan-kpis"/>
    <w:p>
      <w:pPr>
        <w:pStyle w:val="Heading2"/>
      </w:pPr>
      <w:r>
        <w:t xml:space="preserve">Operational Plan &amp; KPIs</w:t>
      </w:r>
    </w:p>
    <w:p>
      <w:pPr>
        <w:pStyle w:val="FirstParagraph"/>
      </w:pPr>
      <w:r>
        <w:t xml:space="preserve">We will execute this plan through a dedicated Moscow office (opening Q1 2024) staffed by bilingual Industrial Engineers with 10+ years of Russian industrial experience. Key success metrics include:</w:t>
      </w:r>
    </w:p>
    <w:p>
      <w:pPr>
        <w:numPr>
          <w:ilvl w:val="0"/>
          <w:numId w:val="1006"/>
        </w:numPr>
        <w:pStyle w:val="Compact"/>
      </w:pPr>
      <w:r>
        <w:rPr>
          <w:bCs/>
          <w:b/>
        </w:rPr>
        <w:t xml:space="preserve">Lead Conversion Rate:</w:t>
      </w:r>
      <w:r>
        <w:t xml:space="preserve"> </w:t>
      </w:r>
      <w:r>
        <w:t xml:space="preserve">Achieve 35% from digital campaigns (target: 25 leads/month by Month 6).</w:t>
      </w:r>
    </w:p>
    <w:p>
      <w:pPr>
        <w:numPr>
          <w:ilvl w:val="0"/>
          <w:numId w:val="1006"/>
        </w:numPr>
        <w:pStyle w:val="Compact"/>
      </w:pPr>
      <w:r>
        <w:rPr>
          <w:bCs/>
          <w:b/>
        </w:rPr>
        <w:t xml:space="preserve">Moscow Market Share:</w:t>
      </w:r>
      <w:r>
        <w:t xml:space="preserve"> </w:t>
      </w:r>
      <w:r>
        <w:t xml:space="preserve">Secure contracts with 12 major industrial clients in Moscow by Year-1.</w:t>
      </w:r>
    </w:p>
    <w:p>
      <w:pPr>
        <w:numPr>
          <w:ilvl w:val="0"/>
          <w:numId w:val="1006"/>
        </w:numPr>
        <w:pStyle w:val="Compact"/>
      </w:pPr>
      <w:r>
        <w:rPr>
          <w:bCs/>
          <w:b/>
        </w:rPr>
        <w:t xml:space="preserve">Cross-Sell Ratio:</w:t>
      </w:r>
      <w:r>
        <w:t xml:space="preserve"> </w:t>
      </w:r>
      <w:r>
        <w:t xml:space="preserve">Upsell supply chain services to 60% of Industrial Engineering clients within 9 months.</w:t>
      </w:r>
    </w:p>
    <w:bookmarkEnd w:id="28"/>
    <w:bookmarkStart w:id="29" w:name="Xfd9d82fbc31a481a19c81c7df45bc307607f320"/>
    <w:p>
      <w:pPr>
        <w:pStyle w:val="Heading2"/>
      </w:pPr>
      <w:r>
        <w:t xml:space="preserve">Risk Mitigation for Russia Moscow Context</w:t>
      </w:r>
    </w:p>
    <w:p>
      <w:pPr>
        <w:pStyle w:val="FirstParagraph"/>
      </w:pPr>
      <w:r>
        <w:t xml:space="preserve">To navigate sanctions complexity, all solutions use Russian-sourced software (e.g., 1C:Enterprise integration) and avoid Western tech dependencies. We maintain a local legal team to ensure full compliance with Russian Business Regulations (Federal Law No. 44-FZ on procurement). Currency volatility is hedged via fixed-term contracts in RUB.</w:t>
      </w:r>
    </w:p>
    <w:bookmarkEnd w:id="29"/>
    <w:bookmarkStart w:id="30" w:name="conclusion"/>
    <w:p>
      <w:pPr>
        <w:pStyle w:val="Heading2"/>
      </w:pPr>
      <w:r>
        <w:t xml:space="preserve">Conclusion</w:t>
      </w:r>
    </w:p>
    <w:p>
      <w:pPr>
        <w:pStyle w:val="FirstParagraph"/>
      </w:pPr>
      <w:r>
        <w:t xml:space="preserve">The demand for Industrial Engineering expertise in Moscow, Russia, has never been higher—or more urgent. Our Marketing Plan capitalizes on this moment by delivering hyper-localized solutions that solve Moscow’s industrial pain points with measurable efficiency gains. By embedding our Industrial Engineering services within the fabric of Russia’s manufacturing ecosystem—through strategic partnerships, Russian-language expertise, and GOST-aligned methodologies—we will become the trusted partner for operational excellence across Moscow’s industrial landscape. This is not merely a service offering; it is a catalyst for resilience in Russia’s critical manufacturing sector.</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Engineering Services in Moscow, Russia</dc:title>
  <dc:creator/>
  <cp:keywords/>
  <dcterms:created xsi:type="dcterms:W3CDTF">2026-07-23T08:56:39Z</dcterms:created>
  <dcterms:modified xsi:type="dcterms:W3CDTF">2026-07-23T08:56:39Z</dcterms:modified>
</cp:coreProperties>
</file>

<file path=docProps/custom.xml><?xml version="1.0" encoding="utf-8"?>
<Properties xmlns="http://schemas.openxmlformats.org/officeDocument/2006/custom-properties" xmlns:vt="http://schemas.openxmlformats.org/officeDocument/2006/docPropsVTypes"/>
</file>