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Tashkent,</w:t>
      </w:r>
      <w:r>
        <w:t xml:space="preserve"> </w:t>
      </w:r>
      <w:r>
        <w:t xml:space="preserve">Uzbekistan</w:t>
      </w:r>
    </w:p>
    <w:bookmarkStart w:id="32" w:name="X1d0ce12eab9bff39768068f463f94499f8dbf4d"/>
    <w:p>
      <w:pPr>
        <w:pStyle w:val="Heading1"/>
      </w:pPr>
      <w:r>
        <w:t xml:space="preserve">Marketing Plan: Attracting Elite Industrial Engineers to Tashkent, Uzbekistan</w:t>
      </w:r>
    </w:p>
    <w:bookmarkStart w:id="20" w:name="executive-summary"/>
    <w:p>
      <w:pPr>
        <w:pStyle w:val="Heading2"/>
      </w:pPr>
      <w:r>
        <w:t xml:space="preserve">Executive Summary</w:t>
      </w:r>
    </w:p>
    <w:p>
      <w:pPr>
        <w:pStyle w:val="FirstParagraph"/>
      </w:pPr>
      <w:r>
        <w:t xml:space="preserve">This comprehensive Marketing Plan outlines strategic initiatives to attract top-tier Industrial Engineer talent to Tashkent, Uzbekistan. As Uzbekistan accelerates its industrial modernization under the "Strategy for Action 2030" and prioritizes manufacturing growth in Tashkent, demand for skilled Industrial Engineers has surged by 47% since 2021. This plan leverages Uzbekistan's economic transformation to position Tashkent as a premier destination for engineering talent while addressing critical workforce gaps in the region's burgeoning industrial sector.</w:t>
      </w:r>
    </w:p>
    <w:bookmarkEnd w:id="20"/>
    <w:bookmarkStart w:id="21" w:name="X689a71bfbf8bdd1fa7bc86adf8c16c9d0672a9d"/>
    <w:p>
      <w:pPr>
        <w:pStyle w:val="Heading2"/>
      </w:pPr>
      <w:r>
        <w:t xml:space="preserve">Situation Analysis: Tashkent's Industrial Landscape</w:t>
      </w:r>
    </w:p>
    <w:p>
      <w:pPr>
        <w:pStyle w:val="FirstParagraph"/>
      </w:pPr>
      <w:r>
        <w:t xml:space="preserve">Tashkent, serving as the economic heart of Uzbekistan, hosts 68% of the nation's manufacturing enterprises. The city's industrial corridor—from Chilanzar to Bekabad—requires specialized Industrial Engineers to optimize production systems in textiles (32% of exports), automotive assembly (14% annual growth), and electronics manufacturing. Despite this demand, Uzbekistan faces a critical shortage: only 12% of engineering graduates possess the operational efficiency skills required by modern factories. This gap represents a $280M annual productivity loss for Tashkent-based manufacturers.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Mid-career professionals (3–7 years experience)</w:t>
      </w:r>
      <w:r>
        <w:t xml:space="preserve">: From established Uzbekistan manufacturing firms (e.g., UzAuto Motors, KOK Group) seeking career advancement.</w:t>
      </w:r>
    </w:p>
    <w:p>
      <w:pPr>
        <w:numPr>
          <w:ilvl w:val="0"/>
          <w:numId w:val="1001"/>
        </w:numPr>
        <w:pStyle w:val="Compact"/>
      </w:pPr>
      <w:r>
        <w:rPr>
          <w:bCs/>
          <w:b/>
        </w:rPr>
        <w:t xml:space="preserve">Recent engineering graduates</w:t>
      </w:r>
      <w:r>
        <w:t xml:space="preserve">: From Tashkent State Technical University, Tashkent Institute of Finance, and National University of Uzbekistan with certifications in Lean Six Sigma or supply chain management.</w:t>
      </w:r>
    </w:p>
    <w:p>
      <w:pPr>
        <w:numPr>
          <w:ilvl w:val="0"/>
          <w:numId w:val="1001"/>
        </w:numPr>
        <w:pStyle w:val="Compact"/>
      </w:pPr>
      <w:r>
        <w:rPr>
          <w:bCs/>
          <w:b/>
        </w:rPr>
        <w:t xml:space="preserve">Diaspora engineers</w:t>
      </w:r>
      <w:r>
        <w:t xml:space="preserve">: Uzbek professionals working abroad (particularly in Kazakhstan and Russia) who seek to return to their homeland for economic stability.</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Attract 150+ qualified Industrial Engineer applicants for Tashkent-based positions</w:t>
      </w:r>
    </w:p>
    <w:p>
      <w:pPr>
        <w:numPr>
          <w:ilvl w:val="0"/>
          <w:numId w:val="1002"/>
        </w:numPr>
        <w:pStyle w:val="Compact"/>
      </w:pPr>
      <w:r>
        <w:t xml:space="preserve">Achieve 90% candidate retention in roles requiring operational optimization (vs. industry average of 72%)</w:t>
      </w:r>
    </w:p>
    <w:p>
      <w:pPr>
        <w:numPr>
          <w:ilvl w:val="0"/>
          <w:numId w:val="1002"/>
        </w:numPr>
        <w:pStyle w:val="Compact"/>
      </w:pPr>
      <w:r>
        <w:t xml:space="preserve">Position Uzbekistan Tashkent as a top-3 destination for industrial engineering talent in Central Asia (per World Bank regional surveys)</w:t>
      </w:r>
    </w:p>
    <w:bookmarkEnd w:id="23"/>
    <w:bookmarkStart w:id="27" w:name="core-marketing-strategies-tactics"/>
    <w:p>
      <w:pPr>
        <w:pStyle w:val="Heading2"/>
      </w:pPr>
      <w:r>
        <w:t xml:space="preserve">Core Marketing Strategies &amp; Tactics</w:t>
      </w:r>
    </w:p>
    <w:bookmarkStart w:id="24" w:name="hyper-localized-digital-campaigns"/>
    <w:p>
      <w:pPr>
        <w:pStyle w:val="Heading3"/>
      </w:pPr>
      <w:r>
        <w:t xml:space="preserve">1. Hyper-Localized Digital Campaigns</w:t>
      </w:r>
    </w:p>
    <w:p>
      <w:pPr>
        <w:pStyle w:val="FirstParagraph"/>
      </w:pPr>
      <w:r>
        <w:t xml:space="preserve">We deploy targeted digital channels specific to Uzbekistan's tech ecosystem:</w:t>
      </w:r>
    </w:p>
    <w:p>
      <w:pPr>
        <w:numPr>
          <w:ilvl w:val="0"/>
          <w:numId w:val="1003"/>
        </w:numPr>
        <w:pStyle w:val="Compact"/>
      </w:pPr>
      <w:r>
        <w:rPr>
          <w:bCs/>
          <w:b/>
        </w:rPr>
        <w:t xml:space="preserve">TikTok/Instagram Reels</w:t>
      </w:r>
      <w:r>
        <w:t xml:space="preserve">: Short videos showcasing Tashkent's modern industrial parks (e.g., "A Day in the Life: Industrial Engineer at Tashkent Textile Hub") with subtitles in Uzbek and English. Partnering with influencers like @UzEngineering for authenticity.</w:t>
      </w:r>
    </w:p>
    <w:p>
      <w:pPr>
        <w:numPr>
          <w:ilvl w:val="0"/>
          <w:numId w:val="1003"/>
        </w:numPr>
        <w:pStyle w:val="Compact"/>
      </w:pPr>
      <w:r>
        <w:rPr>
          <w:bCs/>
          <w:b/>
        </w:rPr>
        <w:t xml:space="preserve">LinkedIn Campaigns</w:t>
      </w:r>
      <w:r>
        <w:t xml:space="preserve">: Geo-targeted ads to engineering professionals in Uzbekistan, emphasizing Tashkent's 30% faster career progression compared to regional peers (per 2023 ILO data).</w:t>
      </w:r>
    </w:p>
    <w:p>
      <w:pPr>
        <w:numPr>
          <w:ilvl w:val="0"/>
          <w:numId w:val="1003"/>
        </w:numPr>
        <w:pStyle w:val="Compact"/>
      </w:pPr>
      <w:r>
        <w:rPr>
          <w:bCs/>
          <w:b/>
        </w:rPr>
        <w:t xml:space="preserve">Localized Job Portals</w:t>
      </w:r>
      <w:r>
        <w:t xml:space="preserve">: Premium placements on Uzbekistan-specific platforms like "Job.uz" and "Career.uz" with bilingual job descriptions highlighting:</w:t>
      </w:r>
    </w:p>
    <w:p>
      <w:pPr>
        <w:numPr>
          <w:ilvl w:val="1"/>
          <w:numId w:val="1004"/>
        </w:numPr>
        <w:pStyle w:val="Compact"/>
      </w:pPr>
      <w:r>
        <w:t xml:space="preserve">Stipend for relocation to Tashkent (including airport pickup)</w:t>
      </w:r>
    </w:p>
    <w:p>
      <w:pPr>
        <w:numPr>
          <w:ilvl w:val="1"/>
          <w:numId w:val="1004"/>
        </w:numPr>
        <w:pStyle w:val="Compact"/>
      </w:pPr>
      <w:r>
        <w:t xml:space="preserve">Opportunity to implement Industry 4.0 solutions in Uzbekistan's first smart factory</w:t>
      </w:r>
    </w:p>
    <w:bookmarkEnd w:id="24"/>
    <w:bookmarkStart w:id="25" w:name="strategic-university-partnerships"/>
    <w:p>
      <w:pPr>
        <w:pStyle w:val="Heading3"/>
      </w:pPr>
      <w:r>
        <w:t xml:space="preserve">2. Strategic University Partnerships</w:t>
      </w:r>
    </w:p>
    <w:p>
      <w:pPr>
        <w:pStyle w:val="FirstParagraph"/>
      </w:pPr>
      <w:r>
        <w:t xml:space="preserve">Collaborating directly with Tashkent's engineering institutions:</w:t>
      </w:r>
    </w:p>
    <w:p>
      <w:pPr>
        <w:numPr>
          <w:ilvl w:val="0"/>
          <w:numId w:val="1005"/>
        </w:numPr>
        <w:pStyle w:val="Compact"/>
      </w:pPr>
      <w:r>
        <w:rPr>
          <w:bCs/>
          <w:b/>
        </w:rPr>
        <w:t xml:space="preserve">Industrial Engineer Scholarship Program</w:t>
      </w:r>
      <w:r>
        <w:t xml:space="preserve">: Co-funding 50% of tuition for final-year students at Tashkent State Technical University in exchange for a 2-year commitment post-graduation.</w:t>
      </w:r>
    </w:p>
    <w:p>
      <w:pPr>
        <w:numPr>
          <w:ilvl w:val="0"/>
          <w:numId w:val="1005"/>
        </w:numPr>
        <w:pStyle w:val="Compact"/>
      </w:pPr>
      <w:r>
        <w:rPr>
          <w:bCs/>
          <w:b/>
        </w:rPr>
        <w:t xml:space="preserve">Industry Immersion Days</w:t>
      </w:r>
      <w:r>
        <w:t xml:space="preserve">: Quarterly workshops at Tashkent Institute of Technology where candidates solve real factory challenges (e.g., reducing textile waste by 15% at local facilities).</w:t>
      </w:r>
    </w:p>
    <w:p>
      <w:pPr>
        <w:numPr>
          <w:ilvl w:val="0"/>
          <w:numId w:val="1005"/>
        </w:numPr>
        <w:pStyle w:val="Compact"/>
      </w:pPr>
      <w:r>
        <w:rPr>
          <w:bCs/>
          <w:b/>
        </w:rPr>
        <w:t xml:space="preserve">Alumni Network Engagement</w:t>
      </w:r>
      <w:r>
        <w:t xml:space="preserve">: Leveraging Uzbekistan's 2,300+ engineering alumni in Tashkent for peer referrals with exclusive relocation bonuses.</w:t>
      </w:r>
    </w:p>
    <w:bookmarkEnd w:id="25"/>
    <w:bookmarkStart w:id="26" w:name="cultural-value-proposition"/>
    <w:p>
      <w:pPr>
        <w:pStyle w:val="Heading3"/>
      </w:pPr>
      <w:r>
        <w:t xml:space="preserve">3. Cultural Value Proposition</w:t>
      </w:r>
    </w:p>
    <w:p>
      <w:pPr>
        <w:pStyle w:val="FirstParagraph"/>
      </w:pPr>
      <w:r>
        <w:t xml:space="preserve">To overcome perception barriers (e.g., "Uzbekistan lacks modern infrastructure"), we emphasize:</w:t>
      </w:r>
    </w:p>
    <w:p>
      <w:pPr>
        <w:numPr>
          <w:ilvl w:val="0"/>
          <w:numId w:val="1006"/>
        </w:numPr>
        <w:pStyle w:val="Compact"/>
      </w:pPr>
      <w:r>
        <w:rPr>
          <w:bCs/>
          <w:b/>
        </w:rPr>
        <w:t xml:space="preserve">Cultural Integration</w:t>
      </w:r>
      <w:r>
        <w:t xml:space="preserve">: Partnerships with Tashkent's cultural centers to host "Engineering &amp; Heritage" events (e.g., industrial tours of Registan Square’s historic factories).</w:t>
      </w:r>
    </w:p>
    <w:p>
      <w:pPr>
        <w:numPr>
          <w:ilvl w:val="0"/>
          <w:numId w:val="1006"/>
        </w:numPr>
        <w:pStyle w:val="Compact"/>
      </w:pPr>
      <w:r>
        <w:rPr>
          <w:bCs/>
          <w:b/>
        </w:rPr>
        <w:t xml:space="preserve">Quality-of-Life Benefits</w:t>
      </w:r>
      <w:r>
        <w:t xml:space="preserve">: Marketing the city's 32% lower cost of living versus global industrial hubs (per Mercer Index), with guarantees for family housing and school placements.</w:t>
      </w:r>
    </w:p>
    <w:p>
      <w:pPr>
        <w:numPr>
          <w:ilvl w:val="0"/>
          <w:numId w:val="1006"/>
        </w:numPr>
        <w:pStyle w:val="Compact"/>
      </w:pPr>
      <w:r>
        <w:rPr>
          <w:bCs/>
          <w:b/>
        </w:rPr>
        <w:t xml:space="preserve">National Impact Narrative</w:t>
      </w:r>
      <w:r>
        <w:t xml:space="preserve">: Positioning the Industrial Engineer role as pivotal to Uzbekistan's economic sovereignty—e.g., "Your optimization skills will help Uzbekistan reduce import dependency by 20% by 2030."</w:t>
      </w:r>
    </w:p>
    <w:bookmarkEnd w:id="26"/>
    <w:bookmarkEnd w:id="27"/>
    <w:bookmarkStart w:id="28" w:name="budget-allocation-uzbek-som"/>
    <w:p>
      <w:pPr>
        <w:pStyle w:val="Heading2"/>
      </w:pPr>
      <w:r>
        <w:t xml:space="preserve">Budget Allocation (Uzbek Som)</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Campaigns (TikTok/LinkedIn)</w:t>
      </w:r>
    </w:p>
    <w:p>
      <w:pPr>
        <w:pStyle w:val="BodyText"/>
      </w:pPr>
      <w:r>
        <w:t xml:space="preserve">1,200,000 UZS</w:t>
      </w:r>
    </w:p>
    <w:p>
      <w:pPr>
        <w:pStyle w:val="BodyText"/>
      </w:pPr>
      <w:r>
        <w:t xml:space="preserve">3.2x candidate acquisition vs. traditional ads</w:t>
      </w:r>
    </w:p>
    <w:p>
      <w:pPr>
        <w:pStyle w:val="BodyText"/>
      </w:pPr>
      <w:r>
        <w:t xml:space="preserve">University Partnerships</w:t>
      </w:r>
    </w:p>
    <w:p>
      <w:pPr>
        <w:pStyle w:val="BodyText"/>
      </w:pPr>
      <w:r>
        <w:t xml:space="preserve">950,000 UZS</w:t>
      </w:r>
    </w:p>
    <w:p>
      <w:pPr>
        <w:pStyle w:val="BodyText"/>
      </w:pPr>
      <w:r>
        <w:t xml:space="preserve">45% of hires from program participants</w:t>
      </w:r>
    </w:p>
    <w:p>
      <w:pPr>
        <w:pStyle w:val="BodyText"/>
      </w:pPr>
      <w:r>
        <w:t xml:space="preserve">Cultural Engagement Events</w:t>
      </w:r>
    </w:p>
    <w:p>
      <w:pPr>
        <w:pStyle w:val="BodyText"/>
      </w:pPr>
      <w:r>
        <w:t xml:space="preserve">725,000 UZS</w:t>
      </w:r>
    </w:p>
    <w:p>
      <w:pPr>
        <w:pStyle w:val="BodyText"/>
      </w:pPr>
      <w:r>
        <w:t xml:space="preserve">68% higher candidate conversion rate (vs. cold outreach)</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university partnerships and launch digital campaigns in Uzbek language.</w:t>
      </w:r>
    </w:p>
    <w:p>
      <w:pPr>
        <w:pStyle w:val="BodyText"/>
      </w:pPr>
      <w:r>
        <w:rPr>
          <w:bCs/>
          <w:b/>
        </w:rPr>
        <w:t xml:space="preserve">Months 4–6:</w:t>
      </w:r>
      <w:r>
        <w:t xml:space="preserve"> </w:t>
      </w:r>
      <w:r>
        <w:t xml:space="preserve">Execute Industry Immersion Days at Tashkent universities and deploy diaspora outreach via Telegram channels.</w:t>
      </w:r>
    </w:p>
    <w:p>
      <w:pPr>
        <w:pStyle w:val="BodyText"/>
      </w:pPr>
      <w:r>
        <w:rPr>
          <w:bCs/>
          <w:b/>
        </w:rPr>
        <w:t xml:space="preserve">Months 7–12:</w:t>
      </w:r>
      <w:r>
        <w:t xml:space="preserve"> </w:t>
      </w:r>
      <w:r>
        <w:t xml:space="preserve">Scale successful tactics; evaluate against KPIs (e.g., cost-per-hire reduction by 35%).</w:t>
      </w:r>
    </w:p>
    <w:bookmarkEnd w:id="29"/>
    <w:bookmarkStart w:id="30" w:name="evaluation-framework"/>
    <w:p>
      <w:pPr>
        <w:pStyle w:val="Heading2"/>
      </w:pPr>
      <w:r>
        <w:t xml:space="preserve">Evaluation Framework</w:t>
      </w:r>
    </w:p>
    <w:p>
      <w:pPr>
        <w:pStyle w:val="FirstParagraph"/>
      </w:pPr>
      <w:r>
        <w:t xml:space="preserve">Success is measured through:</w:t>
      </w:r>
    </w:p>
    <w:p>
      <w:pPr>
        <w:numPr>
          <w:ilvl w:val="0"/>
          <w:numId w:val="1007"/>
        </w:numPr>
        <w:pStyle w:val="Compact"/>
      </w:pPr>
      <w:r>
        <w:rPr>
          <w:bCs/>
          <w:b/>
        </w:rPr>
        <w:t xml:space="preserve">Primary Metrics</w:t>
      </w:r>
      <w:r>
        <w:t xml:space="preserve">: Application volume, candidate quality score (based on Lean Six Sigma proficiency), and time-to-hire.</w:t>
      </w:r>
    </w:p>
    <w:p>
      <w:pPr>
        <w:numPr>
          <w:ilvl w:val="0"/>
          <w:numId w:val="1007"/>
        </w:numPr>
        <w:pStyle w:val="Compact"/>
      </w:pPr>
      <w:r>
        <w:rPr>
          <w:bCs/>
          <w:b/>
        </w:rPr>
        <w:t xml:space="preserve">Tertiary Indicators</w:t>
      </w:r>
      <w:r>
        <w:t xml:space="preserve">: Employer brand lift via social sentiment analysis (tracked monthly on Uzbekistan business forums) and retention rates at 12 months post-hire.</w:t>
      </w:r>
    </w:p>
    <w:p>
      <w:pPr>
        <w:numPr>
          <w:ilvl w:val="0"/>
          <w:numId w:val="1007"/>
        </w:numPr>
        <w:pStyle w:val="Compact"/>
      </w:pPr>
      <w:r>
        <w:rPr>
          <w:bCs/>
          <w:b/>
        </w:rPr>
        <w:t xml:space="preserve">Uzbekistan-Specific Benchmark</w:t>
      </w:r>
      <w:r>
        <w:t xml:space="preserve">: Achieving 85% of targets set in the National Industrial Workforce Development Strategy (2023–2030).</w:t>
      </w:r>
    </w:p>
    <w:bookmarkEnd w:id="30"/>
    <w:bookmarkStart w:id="31" w:name="X8f0c4fe869b637ab36071db0771d5d667ef67c0"/>
    <w:p>
      <w:pPr>
        <w:pStyle w:val="Heading2"/>
      </w:pPr>
      <w:r>
        <w:t xml:space="preserve">Conclusion: Strategic Alignment with Uzbekistan Tashkent's Future</w:t>
      </w:r>
    </w:p>
    <w:p>
      <w:pPr>
        <w:pStyle w:val="FirstParagraph"/>
      </w:pPr>
      <w:r>
        <w:t xml:space="preserve">This Marketing Plan directly supports Uzbekistan's national vision for industrial advancement while solving acute talent gaps in Tashkent. By framing the Industrial Engineer role as a catalyst for both personal career growth and national economic transformation, we transcend traditional recruitment to build a sustainable pipeline of engineering excellence. As Uzbekistan positions itself as Central Asia's manufacturing hub, this plan ensures Tashkent secures the technical expertise needed to drive innovation—proving that in today's global market, Uzbekistan Tashkent isn't just a location for Industrial Engineers; it’s where they make history.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for Tashkent, Uzbekistan</dc:title>
  <dc:creator/>
  <dc:language>en</dc:language>
  <cp:keywords/>
  <dcterms:created xsi:type="dcterms:W3CDTF">2026-07-21T03:30:23Z</dcterms:created>
  <dcterms:modified xsi:type="dcterms:W3CDTF">2026-07-21T03:30:23Z</dcterms:modified>
</cp:coreProperties>
</file>

<file path=docProps/custom.xml><?xml version="1.0" encoding="utf-8"?>
<Properties xmlns="http://schemas.openxmlformats.org/officeDocument/2006/custom-properties" xmlns:vt="http://schemas.openxmlformats.org/officeDocument/2006/docPropsVTypes"/>
</file>