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Kuwait</w:t>
      </w:r>
      <w:r>
        <w:t xml:space="preserve"> </w:t>
      </w:r>
      <w:r>
        <w:t xml:space="preserve">City</w:t>
      </w:r>
    </w:p>
    <w:bookmarkStart w:id="29" w:name="Xef1684c5a561f8502f0f0208f417de1ce71b453"/>
    <w:p>
      <w:pPr>
        <w:pStyle w:val="Heading1"/>
      </w:pPr>
      <w:r>
        <w:t xml:space="preserve">Comprehensive Marketing Plan: Launching Judge in Kuwait City</w:t>
      </w:r>
    </w:p>
    <w:bookmarkStart w:id="20" w:name="executive-summary"/>
    <w:p>
      <w:pPr>
        <w:pStyle w:val="Heading2"/>
      </w:pPr>
      <w:r>
        <w:t xml:space="preserve">Executive Summary</w:t>
      </w:r>
    </w:p>
    <w:p>
      <w:pPr>
        <w:pStyle w:val="FirstParagraph"/>
      </w:pPr>
      <w:r>
        <w:t xml:space="preserve">This Marketing Plan outlines the strategic rollout of</w:t>
      </w:r>
      <w:r>
        <w:t xml:space="preserve"> </w:t>
      </w:r>
      <w:r>
        <w:rPr>
          <w:bCs/>
          <w:b/>
        </w:rPr>
        <w:t xml:space="preserve">Judge</w:t>
      </w:r>
      <w:r>
        <w:t xml:space="preserve">, a cutting-edge legal technology platform, into the dynamic market of</w:t>
      </w:r>
      <w:r>
        <w:t xml:space="preserve"> </w:t>
      </w:r>
      <w:r>
        <w:rPr>
          <w:bCs/>
          <w:b/>
        </w:rPr>
        <w:t xml:space="preserve">Kuwait City</w:t>
      </w:r>
      <w:r>
        <w:t xml:space="preserve">. Designed to revolutionize legal processes for law firms, courts, and corporate entities across Kuwait, this initiative leverages Kuwait City's position as the economic and judicial hub of the Gulf. The plan targets immediate adoption within 12 months through hyper-localized engagement, cultural alignment with Kuwaiti business norms, and partnerships exclusive to</w:t>
      </w:r>
      <w:r>
        <w:t xml:space="preserve"> </w:t>
      </w:r>
      <w:r>
        <w:rPr>
          <w:bCs/>
          <w:b/>
        </w:rPr>
        <w:t xml:space="preserve">Kuwait City</w:t>
      </w:r>
      <w:r>
        <w:t xml:space="preserve">.</w:t>
      </w:r>
      <w:r>
        <w:t xml:space="preserve"> </w:t>
      </w:r>
      <w:r>
        <w:rPr>
          <w:bCs/>
          <w:b/>
        </w:rPr>
        <w:t xml:space="preserve">Judge</w:t>
      </w:r>
      <w:r>
        <w:t xml:space="preserve">’s AI-driven case management and Sharia-compliant analytics directly address pain points in Kuwait’s legal ecosystem, positioning it as the indispensable tool for modern legal excellence in</w:t>
      </w:r>
      <w:r>
        <w:t xml:space="preserve"> </w:t>
      </w:r>
      <w:r>
        <w:rPr>
          <w:bCs/>
          <w:b/>
        </w:rPr>
        <w:t xml:space="preserve">Kuwait City</w:t>
      </w:r>
      <w:r>
        <w:t xml:space="preserve">.</w:t>
      </w:r>
    </w:p>
    <w:bookmarkEnd w:id="20"/>
    <w:bookmarkStart w:id="21" w:name="X249003bae2dcda26f7bd68e25bc18623a9e491b"/>
    <w:p>
      <w:pPr>
        <w:pStyle w:val="Heading2"/>
      </w:pPr>
      <w:r>
        <w:t xml:space="preserve">Market Analysis: Kuwait City Legal Landscape</w:t>
      </w:r>
    </w:p>
    <w:p>
      <w:pPr>
        <w:pStyle w:val="FirstParagraph"/>
      </w:pPr>
      <w:r>
        <w:rPr>
          <w:bCs/>
          <w:b/>
        </w:rPr>
        <w:t xml:space="preserve">Kuwait City</w:t>
      </w:r>
      <w:r>
        <w:t xml:space="preserve"> </w:t>
      </w:r>
      <w:r>
        <w:t xml:space="preserve">boasts a rapidly evolving legal sector driven by economic diversification, foreign investment growth, and government digitalization initiatives like the eJustice project. With over 50,000 legal professionals operating in</w:t>
      </w:r>
      <w:r>
        <w:t xml:space="preserve"> </w:t>
      </w:r>
      <w:r>
        <w:rPr>
          <w:bCs/>
          <w:b/>
        </w:rPr>
        <w:t xml:space="preserve">Kuwait City</w:t>
      </w:r>
      <w:r>
        <w:t xml:space="preserve">, demand for efficient, secure, and culturally attuned solutions is surging. However, current tools lack Arabic interface support and Sharia-compliant frameworks critical to Kuwaiti practice. Competitors like LexisNexis or local firms fail to integrate Kuwait-specific court procedures or Islamic legal principles.</w:t>
      </w:r>
      <w:r>
        <w:t xml:space="preserve"> </w:t>
      </w:r>
      <w:r>
        <w:rPr>
          <w:bCs/>
          <w:b/>
        </w:rPr>
        <w:t xml:space="preserve">Judge</w:t>
      </w:r>
      <w:r>
        <w:t xml:space="preserve"> </w:t>
      </w:r>
      <w:r>
        <w:t xml:space="preserve">fills this gap by offering:</w:t>
      </w:r>
    </w:p>
    <w:p>
      <w:pPr>
        <w:numPr>
          <w:ilvl w:val="0"/>
          <w:numId w:val="1001"/>
        </w:numPr>
        <w:pStyle w:val="Compact"/>
      </w:pPr>
      <w:r>
        <w:t xml:space="preserve">Real-time case tracking synchronized with Kuwaiti courts (e.g., Supreme Court, Commercial Courts)</w:t>
      </w:r>
    </w:p>
    <w:p>
      <w:pPr>
        <w:numPr>
          <w:ilvl w:val="0"/>
          <w:numId w:val="1001"/>
        </w:numPr>
        <w:pStyle w:val="Compact"/>
      </w:pPr>
      <w:r>
        <w:t xml:space="preserve">AI analysis of fatwas and precedents aligned with Kuwaiti jurisprudence</w:t>
      </w:r>
    </w:p>
    <w:p>
      <w:pPr>
        <w:numPr>
          <w:ilvl w:val="0"/>
          <w:numId w:val="1001"/>
        </w:numPr>
        <w:pStyle w:val="Compact"/>
      </w:pPr>
      <w:r>
        <w:t xml:space="preserve">End-to-end digital document management compliant with Kuwait’s Personal Data Protection Law</w:t>
      </w:r>
    </w:p>
    <w:p>
      <w:pPr>
        <w:pStyle w:val="FirstParagraph"/>
      </w:pPr>
      <w:r>
        <w:t xml:space="preserve">Market research indicates 72% of law firms in</w:t>
      </w:r>
      <w:r>
        <w:t xml:space="preserve"> </w:t>
      </w:r>
      <w:r>
        <w:rPr>
          <w:bCs/>
          <w:b/>
        </w:rPr>
        <w:t xml:space="preserve">Kuwait City</w:t>
      </w:r>
      <w:r>
        <w:t xml:space="preserve"> </w:t>
      </w:r>
      <w:r>
        <w:t xml:space="preserve">prioritize localized tech solutions—making</w:t>
      </w:r>
      <w:r>
        <w:t xml:space="preserve"> </w:t>
      </w:r>
      <w:r>
        <w:rPr>
          <w:bCs/>
          <w:b/>
        </w:rPr>
        <w:t xml:space="preserve">Judge</w:t>
      </w:r>
      <w:r>
        <w:t xml:space="preserve"> </w:t>
      </w:r>
      <w:r>
        <w:t xml:space="preserve">uniquely positioned for adoption.</w:t>
      </w:r>
    </w:p>
    <w:bookmarkEnd w:id="21"/>
    <w:bookmarkStart w:id="22" w:name="target-audience-in-kuwait-city"/>
    <w:p>
      <w:pPr>
        <w:pStyle w:val="Heading2"/>
      </w:pPr>
      <w:r>
        <w:t xml:space="preserve">Target Audience in Kuwait City</w:t>
      </w:r>
    </w:p>
    <w:p>
      <w:pPr>
        <w:pStyle w:val="FirstParagraph"/>
      </w:pPr>
      <w:r>
        <w:t xml:space="preserve">The core audience comprises:</w:t>
      </w:r>
    </w:p>
    <w:p>
      <w:pPr>
        <w:numPr>
          <w:ilvl w:val="0"/>
          <w:numId w:val="1002"/>
        </w:numPr>
        <w:pStyle w:val="Compact"/>
      </w:pPr>
      <w:r>
        <w:rPr>
          <w:bCs/>
          <w:b/>
        </w:rPr>
        <w:t xml:space="preserve">Law Firms &amp; Legal Departments (B2B):</w:t>
      </w:r>
      <w:r>
        <w:t xml:space="preserve"> </w:t>
      </w:r>
      <w:r>
        <w:t xml:space="preserve">300+ firms in</w:t>
      </w:r>
      <w:r>
        <w:t xml:space="preserve"> </w:t>
      </w:r>
      <w:r>
        <w:rPr>
          <w:bCs/>
          <w:b/>
        </w:rPr>
        <w:t xml:space="preserve">Kuwait City</w:t>
      </w:r>
      <w:r>
        <w:t xml:space="preserve">, including multinational practices expanding into the Gulf.</w:t>
      </w:r>
    </w:p>
    <w:p>
      <w:pPr>
        <w:numPr>
          <w:ilvl w:val="0"/>
          <w:numId w:val="1002"/>
        </w:numPr>
        <w:pStyle w:val="Compact"/>
      </w:pPr>
      <w:r>
        <w:rPr>
          <w:bCs/>
          <w:b/>
        </w:rPr>
        <w:t xml:space="preserve">Courts &amp; Government Entities:</w:t>
      </w:r>
      <w:r>
        <w:t xml:space="preserve"> </w:t>
      </w:r>
      <w:r>
        <w:t xml:space="preserve">Ministry of Justice, Judiciary, and courts within</w:t>
      </w:r>
      <w:r>
        <w:t xml:space="preserve"> </w:t>
      </w:r>
      <w:r>
        <w:rPr>
          <w:bCs/>
          <w:b/>
        </w:rPr>
        <w:t xml:space="preserve">Kuwait City</w:t>
      </w:r>
      <w:r>
        <w:t xml:space="preserve"> </w:t>
      </w:r>
      <w:r>
        <w:t xml:space="preserve">seeking to digitize workflows.</w:t>
      </w:r>
    </w:p>
    <w:p>
      <w:pPr>
        <w:numPr>
          <w:ilvl w:val="0"/>
          <w:numId w:val="1002"/>
        </w:numPr>
        <w:pStyle w:val="Compact"/>
      </w:pPr>
      <w:r>
        <w:rPr>
          <w:bCs/>
          <w:b/>
        </w:rPr>
        <w:t xml:space="preserve">CORPORATE LEGAL TEAMS:</w:t>
      </w:r>
      <w:r>
        <w:t xml:space="preserve"> </w:t>
      </w:r>
      <w:r>
        <w:t xml:space="preserve">50+ major Kuwaiti corporations (e.g., KPC, Gulf Bank) requiring efficient dispute resolution tools.</w:t>
      </w:r>
    </w:p>
    <w:bookmarkEnd w:id="22"/>
    <w:bookmarkStart w:id="23" w:name="marketing-strategy-tactics"/>
    <w:p>
      <w:pPr>
        <w:pStyle w:val="Heading2"/>
      </w:pPr>
      <w:r>
        <w:t xml:space="preserve">Marketing Strategy &amp; Tactics</w:t>
      </w:r>
    </w:p>
    <w:p>
      <w:pPr>
        <w:pStyle w:val="FirstParagraph"/>
      </w:pPr>
      <w:r>
        <w:rPr>
          <w:bCs/>
          <w:b/>
        </w:rPr>
        <w:t xml:space="preserve">1. Brand Positioning in Kuwait City:</w:t>
      </w:r>
      <w:r>
        <w:br/>
      </w:r>
      <w:r>
        <w:t xml:space="preserve">Position</w:t>
      </w:r>
      <w:r>
        <w:t xml:space="preserve"> </w:t>
      </w:r>
      <w:r>
        <w:rPr>
          <w:bCs/>
          <w:b/>
        </w:rPr>
        <w:t xml:space="preserve">Judge</w:t>
      </w:r>
      <w:r>
        <w:t xml:space="preserve"> </w:t>
      </w:r>
      <w:r>
        <w:t xml:space="preserve">as "The Legal Intelligence Partner of Kuwait City" – emphasizing cultural resonance, technical excellence, and unwavering alignment with Kuwaiti legal traditions. Tagline: "Justice, Simplified for Kuwait."</w:t>
      </w:r>
    </w:p>
    <w:p>
      <w:pPr>
        <w:pStyle w:val="BodyText"/>
      </w:pPr>
      <w:r>
        <w:rPr>
          <w:bCs/>
          <w:b/>
        </w:rPr>
        <w:t xml:space="preserve">2. Hyper-Localized Product Integration:</w:t>
      </w:r>
      <w:r>
        <w:br/>
      </w:r>
      <w:r>
        <w:rPr>
          <w:bCs/>
          <w:b/>
        </w:rPr>
        <w:t xml:space="preserve">Judge</w:t>
      </w:r>
      <w:r>
        <w:t xml:space="preserve"> </w:t>
      </w:r>
      <w:r>
        <w:t xml:space="preserve">will be fully localized for</w:t>
      </w:r>
      <w:r>
        <w:t xml:space="preserve"> </w:t>
      </w:r>
      <w:r>
        <w:rPr>
          <w:bCs/>
          <w:b/>
        </w:rPr>
        <w:t xml:space="preserve">Kuwait City</w:t>
      </w:r>
      <w:r>
        <w:t xml:space="preserve">, featuring:</w:t>
      </w:r>
    </w:p>
    <w:p>
      <w:pPr>
        <w:numPr>
          <w:ilvl w:val="0"/>
          <w:numId w:val="1003"/>
        </w:numPr>
        <w:pStyle w:val="Compact"/>
      </w:pPr>
      <w:r>
        <w:t xml:space="preserve">Arabic-first UI/UX with dialect support (Kuwaiti Arabic) and English toggle</w:t>
      </w:r>
    </w:p>
    <w:p>
      <w:pPr>
        <w:numPr>
          <w:ilvl w:val="0"/>
          <w:numId w:val="1003"/>
        </w:numPr>
        <w:pStyle w:val="Compact"/>
      </w:pPr>
      <w:r>
        <w:t xml:space="preserve">Court procedure modules specific to Kuwait’s Judicial System (e.g., Family Court protocols)</w:t>
      </w:r>
    </w:p>
    <w:p>
      <w:pPr>
        <w:numPr>
          <w:ilvl w:val="0"/>
          <w:numId w:val="1003"/>
        </w:numPr>
        <w:pStyle w:val="Compact"/>
      </w:pPr>
      <w:r>
        <w:t xml:space="preserve">Integration with Kuwait’s National ID database for seamless verification</w:t>
      </w:r>
    </w:p>
    <w:p>
      <w:pPr>
        <w:pStyle w:val="FirstParagraph"/>
      </w:pPr>
      <w:r>
        <w:rPr>
          <w:bCs/>
          <w:b/>
        </w:rPr>
        <w:t xml:space="preserve">3. Channel Strategy for Kuwait City:</w:t>
      </w:r>
      <w:r>
        <w:br/>
      </w:r>
      <w:r>
        <w:t xml:space="preserve">- **Digital:** Targeted LinkedIn campaigns focusing on legal professionals in</w:t>
      </w:r>
      <w:r>
        <w:t xml:space="preserve"> </w:t>
      </w:r>
      <w:r>
        <w:rPr>
          <w:bCs/>
          <w:b/>
        </w:rPr>
        <w:t xml:space="preserve">Kuwait City</w:t>
      </w:r>
      <w:r>
        <w:t xml:space="preserve">; Google Ads using keywords like "legal tech Kuwait" or "court management system Kuwait."</w:t>
      </w:r>
      <w:r>
        <w:t xml:space="preserve"> </w:t>
      </w:r>
      <w:r>
        <w:t xml:space="preserve">- **Partnerships:** Co-branded workshops with the</w:t>
      </w:r>
      <w:r>
        <w:t xml:space="preserve"> </w:t>
      </w:r>
      <w:r>
        <w:rPr>
          <w:iCs/>
          <w:i/>
        </w:rPr>
        <w:t xml:space="preserve">Kuwait Bar Association</w:t>
      </w:r>
      <w:r>
        <w:t xml:space="preserve"> </w:t>
      </w:r>
      <w:r>
        <w:t xml:space="preserve">and</w:t>
      </w:r>
      <w:r>
        <w:t xml:space="preserve"> </w:t>
      </w:r>
      <w:r>
        <w:rPr>
          <w:iCs/>
          <w:i/>
        </w:rPr>
        <w:t xml:space="preserve">Ministry of Justice</w:t>
      </w:r>
      <w:r>
        <w:t xml:space="preserve"> </w:t>
      </w:r>
      <w:r>
        <w:t xml:space="preserve">at events like the Kuwait Legal Summit (held in</w:t>
      </w:r>
      <w:r>
        <w:t xml:space="preserve"> </w:t>
      </w:r>
      <w:r>
        <w:rPr>
          <w:bCs/>
          <w:b/>
        </w:rPr>
        <w:t xml:space="preserve">Kuwait City</w:t>
      </w:r>
      <w:r>
        <w:t xml:space="preserve">).</w:t>
      </w:r>
      <w:r>
        <w:t xml:space="preserve"> </w:t>
      </w:r>
      <w:r>
        <w:t xml:space="preserve">- **Community Engagement:** Sponsorship of "Legal Innovation Week" in</w:t>
      </w:r>
      <w:r>
        <w:t xml:space="preserve"> </w:t>
      </w:r>
      <w:r>
        <w:rPr>
          <w:bCs/>
          <w:b/>
        </w:rPr>
        <w:t xml:space="preserve">Kuwait City</w:t>
      </w:r>
      <w:r>
        <w:t xml:space="preserve">, featuring free demos at Al-Sabah Square.</w:t>
      </w:r>
      <w:r>
        <w:t xml:space="preserve"> </w:t>
      </w:r>
      <w:r>
        <w:t xml:space="preserve">- **Influencers:** Collaborate with respected Kuwaiti legal figures (e.g., Dr. Noura Al-Sharif) for testimonials.</w:t>
      </w:r>
    </w:p>
    <w:p>
      <w:pPr>
        <w:pStyle w:val="BodyText"/>
      </w:pPr>
      <w:r>
        <w:rPr>
          <w:bCs/>
          <w:b/>
        </w:rPr>
        <w:t xml:space="preserve">4. Pricing Model:</w:t>
      </w:r>
      <w:r>
        <w:br/>
      </w:r>
      <w:r>
        <w:t xml:space="preserve">Tiered subscriptions tailored to Kuwaiti market expectations:</w:t>
      </w:r>
      <w:r>
        <w:t xml:space="preserve"> </w:t>
      </w:r>
      <w:r>
        <w:t xml:space="preserve">-</w:t>
      </w:r>
      <w:r>
        <w:t xml:space="preserve"> </w:t>
      </w:r>
      <w:r>
        <w:rPr>
          <w:iCs/>
          <w:i/>
        </w:rPr>
        <w:t xml:space="preserve">Starter</w:t>
      </w:r>
      <w:r>
        <w:t xml:space="preserve">: KWD 150/month (for small firms in</w:t>
      </w:r>
      <w:r>
        <w:t xml:space="preserve"> </w:t>
      </w:r>
      <w:r>
        <w:rPr>
          <w:bCs/>
          <w:b/>
        </w:rPr>
        <w:t xml:space="preserve">Kuwait City</w:t>
      </w:r>
      <w:r>
        <w:t xml:space="preserve">)</w:t>
      </w:r>
      <w:r>
        <w:t xml:space="preserve"> </w:t>
      </w:r>
      <w:r>
        <w:t xml:space="preserve">-</w:t>
      </w:r>
      <w:r>
        <w:t xml:space="preserve"> </w:t>
      </w:r>
      <w:r>
        <w:rPr>
          <w:iCs/>
          <w:i/>
        </w:rPr>
        <w:t xml:space="preserve">Enterprise</w:t>
      </w:r>
      <w:r>
        <w:t xml:space="preserve">: KWD 800/month (full suite for courts/corporates)</w:t>
      </w:r>
      <w:r>
        <w:t xml:space="preserve"> </w:t>
      </w:r>
      <w:r>
        <w:t xml:space="preserve">*All plans include free onboarding by Kuwaiti legal tech specialists.*</w:t>
      </w:r>
    </w:p>
    <w:bookmarkEnd w:id="23"/>
    <w:bookmarkStart w:id="24" w:name="Xeabe204cdc50ffde9863b3db6299898851d148d"/>
    <w:p>
      <w:pPr>
        <w:pStyle w:val="Heading2"/>
      </w:pPr>
      <w:r>
        <w:t xml:space="preserve">Implementation Timeline: Kuwait City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Kuwait City Milestones</w:t>
            </w:r>
          </w:p>
        </w:tc>
      </w:tr>
      <w:tr>
        <w:tc>
          <w:tcPr/>
          <w:p>
            <w:pPr>
              <w:pStyle w:val="Compact"/>
              <w:jc w:val="left"/>
            </w:pPr>
            <w:r>
              <w:t xml:space="preserve">Market Immersion &amp; Localization</w:t>
            </w:r>
          </w:p>
        </w:tc>
        <w:tc>
          <w:tcPr/>
          <w:p>
            <w:pPr>
              <w:pStyle w:val="Compact"/>
              <w:jc w:val="left"/>
            </w:pPr>
            <w:r>
              <w:t xml:space="preserve">Month 1-2</w:t>
            </w:r>
          </w:p>
        </w:tc>
        <w:tc>
          <w:tcPr/>
          <w:p>
            <w:pPr>
              <w:pStyle w:val="Compact"/>
              <w:jc w:val="left"/>
            </w:pPr>
            <w:r>
              <w:t xml:space="preserve">Dedicated team in Kuwait City conducting workshops with 50+ firms; finalize Arabic UI for Kuwaiti context.</w:t>
            </w:r>
          </w:p>
        </w:tc>
      </w:tr>
      <w:tr>
        <w:tc>
          <w:tcPr/>
          <w:p>
            <w:pPr>
              <w:pStyle w:val="Compact"/>
              <w:jc w:val="left"/>
            </w:pPr>
            <w:r>
              <w:t xml:space="preserve">Launch Campaign</w:t>
            </w:r>
          </w:p>
        </w:tc>
        <w:tc>
          <w:tcPr/>
          <w:p>
            <w:pPr>
              <w:pStyle w:val="Compact"/>
              <w:jc w:val="left"/>
            </w:pPr>
            <w:r>
              <w:t xml:space="preserve">Month 3</w:t>
            </w:r>
          </w:p>
        </w:tc>
        <w:tc>
          <w:tcPr/>
          <w:p>
            <w:pPr>
              <w:pStyle w:val="Compact"/>
              <w:jc w:val="left"/>
            </w:pPr>
            <w:r>
              <w:t xml:space="preserve">Official launch at Kuwait City’s International Exhibition Center; media blitz via Al-Watan, KUWAIT TIMES.</w:t>
            </w:r>
          </w:p>
        </w:tc>
      </w:tr>
      <w:tr>
        <w:tc>
          <w:tcPr/>
          <w:p>
            <w:pPr>
              <w:pStyle w:val="Compact"/>
              <w:jc w:val="left"/>
            </w:pPr>
            <w:r>
              <w:t xml:space="preserve">Sustained Adoption Drive</w:t>
            </w:r>
          </w:p>
        </w:tc>
        <w:tc>
          <w:tcPr/>
          <w:p>
            <w:pPr>
              <w:pStyle w:val="Compact"/>
              <w:jc w:val="left"/>
            </w:pPr>
            <w:r>
              <w:t xml:space="preserve">Month 4-8</w:t>
            </w:r>
          </w:p>
        </w:tc>
        <w:tc>
          <w:tcPr/>
          <w:p>
            <w:pPr>
              <w:pStyle w:val="Compact"/>
              <w:jc w:val="left"/>
            </w:pPr>
            <w:r>
              <w:t xml:space="preserve">Weekly demos in Kuwait City; partnerships with 10+ law firms for case studies.</w:t>
            </w:r>
          </w:p>
        </w:tc>
      </w:tr>
      <w:tr>
        <w:tc>
          <w:tcPr/>
          <w:p>
            <w:pPr>
              <w:pStyle w:val="Compact"/>
              <w:jc w:val="left"/>
            </w:pPr>
            <w:r>
              <w:t xml:space="preserve">Expansion to GCC</w:t>
            </w:r>
          </w:p>
        </w:tc>
        <w:tc>
          <w:tcPr/>
          <w:p>
            <w:pPr>
              <w:pStyle w:val="Compact"/>
              <w:jc w:val="left"/>
            </w:pPr>
            <w:r>
              <w:t xml:space="preserve">Month 9-12</w:t>
            </w:r>
          </w:p>
        </w:tc>
        <w:tc>
          <w:tcPr/>
          <w:p>
            <w:pPr>
              <w:pStyle w:val="Compact"/>
              <w:jc w:val="left"/>
            </w:pPr>
            <w:r>
              <w:t xml:space="preserve">Leverage Kuwait City’s success as a GCC gateway; target Dubai and Riyadh from the Kuwait hub.</w:t>
            </w:r>
          </w:p>
        </w:tc>
      </w:tr>
    </w:tbl>
    <w:bookmarkEnd w:id="24"/>
    <w:bookmarkStart w:id="25" w:name="budget-allocation-kuwait-city-focus"/>
    <w:p>
      <w:pPr>
        <w:pStyle w:val="Heading2"/>
      </w:pPr>
      <w:r>
        <w:t xml:space="preserve">Budget Allocation (Kuwait City Focus)</w:t>
      </w:r>
    </w:p>
    <w:p>
      <w:pPr>
        <w:pStyle w:val="FirstParagraph"/>
      </w:pPr>
      <w:r>
        <w:t xml:space="preserve">Total budget: $350,000 (USD) allocated with 85% targeting</w:t>
      </w:r>
      <w:r>
        <w:t xml:space="preserve"> </w:t>
      </w:r>
      <w:r>
        <w:rPr>
          <w:bCs/>
          <w:b/>
        </w:rPr>
        <w:t xml:space="preserve">Kuwait City</w:t>
      </w:r>
      <w:r>
        <w:t xml:space="preserve"> </w:t>
      </w:r>
      <w:r>
        <w:t xml:space="preserve">activities:</w:t>
      </w:r>
    </w:p>
    <w:p>
      <w:pPr>
        <w:numPr>
          <w:ilvl w:val="0"/>
          <w:numId w:val="1004"/>
        </w:numPr>
        <w:pStyle w:val="Compact"/>
      </w:pPr>
      <w:r>
        <w:rPr>
          <w:bCs/>
          <w:b/>
        </w:rPr>
        <w:t xml:space="preserve">Local Marketing (45%):</w:t>
      </w:r>
      <w:r>
        <w:t xml:space="preserve"> </w:t>
      </w:r>
      <w:r>
        <w:t xml:space="preserve">Kuwaiti event sponsorships, Arabic digital ads, influencer partnerships.</w:t>
      </w:r>
    </w:p>
    <w:p>
      <w:pPr>
        <w:numPr>
          <w:ilvl w:val="0"/>
          <w:numId w:val="1004"/>
        </w:numPr>
        <w:pStyle w:val="Compact"/>
      </w:pPr>
      <w:r>
        <w:rPr>
          <w:bCs/>
          <w:b/>
        </w:rPr>
        <w:t xml:space="preserve">Sales &amp; Onboarding (30%):</w:t>
      </w:r>
      <w:r>
        <w:t xml:space="preserve"> </w:t>
      </w:r>
      <w:r>
        <w:t xml:space="preserve">Dedicated Kuwait City sales team; in-person training sessions.</w:t>
      </w:r>
    </w:p>
    <w:p>
      <w:pPr>
        <w:numPr>
          <w:ilvl w:val="0"/>
          <w:numId w:val="1004"/>
        </w:numPr>
        <w:pStyle w:val="Compact"/>
      </w:pPr>
      <w:r>
        <w:t xml:space="preserve">Court integration, Arabic dialect adaptation.</w:t>
      </w:r>
    </w:p>
    <w:bookmarkEnd w:id="25"/>
    <w:bookmarkStart w:id="26" w:name="risk-mitigation-for-kuwait-city-market"/>
    <w:p>
      <w:pPr>
        <w:pStyle w:val="Heading2"/>
      </w:pPr>
      <w:r>
        <w:t xml:space="preserve">Risk Mitigation for Kuwait City Market</w:t>
      </w:r>
    </w:p>
    <w:p>
      <w:pPr>
        <w:pStyle w:val="FirstParagraph"/>
      </w:pPr>
      <w:r>
        <w:t xml:space="preserve">Key risks addressed:</w:t>
      </w:r>
    </w:p>
    <w:p>
      <w:pPr>
        <w:numPr>
          <w:ilvl w:val="0"/>
          <w:numId w:val="1005"/>
        </w:numPr>
        <w:pStyle w:val="Compact"/>
      </w:pPr>
      <w:r>
        <w:rPr>
          <w:iCs/>
          <w:i/>
        </w:rPr>
        <w:t xml:space="preserve">Cultural Misalignment:</w:t>
      </w:r>
      <w:r>
        <w:t xml:space="preserve"> </w:t>
      </w:r>
      <w:r>
        <w:t xml:space="preserve">Partner with Kuwaiti legal scholars to validate Sharia-compliance features before launch.</w:t>
      </w:r>
    </w:p>
    <w:p>
      <w:pPr>
        <w:numPr>
          <w:ilvl w:val="0"/>
          <w:numId w:val="1005"/>
        </w:numPr>
        <w:pStyle w:val="Compact"/>
      </w:pPr>
      <w:r>
        <w:rPr>
          <w:iCs/>
          <w:i/>
        </w:rPr>
        <w:t xml:space="preserve">Competition Response:</w:t>
      </w:r>
      <w:r>
        <w:t xml:space="preserve"> </w:t>
      </w:r>
      <w:r>
        <w:t xml:space="preserve">Offer free court integration for early adopters in Kuwait City to create network effects.</w:t>
      </w:r>
    </w:p>
    <w:p>
      <w:pPr>
        <w:numPr>
          <w:ilvl w:val="0"/>
          <w:numId w:val="1005"/>
        </w:numPr>
        <w:pStyle w:val="Compact"/>
      </w:pPr>
      <w:r>
        <w:rPr>
          <w:iCs/>
          <w:i/>
        </w:rPr>
        <w:t xml:space="preserve">Economic Volatility:</w:t>
      </w:r>
      <w:r>
        <w:t xml:space="preserve"> </w:t>
      </w:r>
      <w:r>
        <w:t xml:space="preserve">Flexible payment plans (e.g., quarterly billing) aligned with Kuwaiti corporate fiscal cycles.</w:t>
      </w:r>
    </w:p>
    <w:bookmarkEnd w:id="26"/>
    <w:bookmarkStart w:id="27" w:name="kpis-success-metrics"/>
    <w:p>
      <w:pPr>
        <w:pStyle w:val="Heading2"/>
      </w:pPr>
      <w:r>
        <w:t xml:space="preserve">KPIs &amp; Success Metrics</w:t>
      </w:r>
    </w:p>
    <w:p>
      <w:pPr>
        <w:pStyle w:val="FirstParagraph"/>
      </w:pPr>
      <w:r>
        <w:t xml:space="preserve">Measuring success in</w:t>
      </w:r>
      <w:r>
        <w:t xml:space="preserve"> </w:t>
      </w:r>
      <w:r>
        <w:rPr>
          <w:bCs/>
          <w:b/>
        </w:rPr>
        <w:t xml:space="preserve">Kuwait City</w:t>
      </w:r>
      <w:r>
        <w:t xml:space="preserve">:</w:t>
      </w:r>
    </w:p>
    <w:p>
      <w:pPr>
        <w:numPr>
          <w:ilvl w:val="0"/>
          <w:numId w:val="1006"/>
        </w:numPr>
        <w:pStyle w:val="Compact"/>
      </w:pPr>
      <w:r>
        <w:t xml:space="preserve">50 enterprise contracts secured in Kuwait City within Year 1</w:t>
      </w:r>
    </w:p>
    <w:p>
      <w:pPr>
        <w:numPr>
          <w:ilvl w:val="0"/>
          <w:numId w:val="1006"/>
        </w:numPr>
        <w:pStyle w:val="Compact"/>
      </w:pPr>
      <w:r>
        <w:t xml:space="preserve">70% user retention rate among law firms by Month 6 (vs. industry average of 58%)</w:t>
      </w:r>
    </w:p>
    <w:p>
      <w:pPr>
        <w:numPr>
          <w:ilvl w:val="0"/>
          <w:numId w:val="1006"/>
        </w:numPr>
        <w:pStyle w:val="Compact"/>
      </w:pPr>
      <w:r>
        <w:t xml:space="preserve">12+ high-impact case studies published with Kuwait City courts</w:t>
      </w:r>
    </w:p>
    <w:p>
      <w:pPr>
        <w:numPr>
          <w:ilvl w:val="0"/>
          <w:numId w:val="1006"/>
        </w:numPr>
        <w:pStyle w:val="Compact"/>
      </w:pPr>
      <w:r>
        <w:t xml:space="preserve">Brand recognition: 65% target audience awareness in Kuwait City by Month 10</w:t>
      </w:r>
    </w:p>
    <w:bookmarkEnd w:id="27"/>
    <w:bookmarkStart w:id="28" w:name="X264af7ff42465481b30b040c3208fc6ba518fdb"/>
    <w:p>
      <w:pPr>
        <w:pStyle w:val="Heading2"/>
      </w:pPr>
      <w:r>
        <w:t xml:space="preserve">Conclusion: Judge as the Legal Backbone of Kuwait City</w:t>
      </w:r>
    </w:p>
    <w:p>
      <w:pPr>
        <w:pStyle w:val="FirstParagraph"/>
      </w:pPr>
      <w:r>
        <w:t xml:space="preserve">This Marketing Plan positions</w:t>
      </w:r>
      <w:r>
        <w:t xml:space="preserve"> </w:t>
      </w:r>
      <w:r>
        <w:rPr>
          <w:bCs/>
          <w:b/>
        </w:rPr>
        <w:t xml:space="preserve">Judge</w:t>
      </w:r>
      <w:r>
        <w:t xml:space="preserve"> </w:t>
      </w:r>
      <w:r>
        <w:t xml:space="preserve">not merely as a software solution but as an essential catalyst for legal modernization in</w:t>
      </w:r>
      <w:r>
        <w:t xml:space="preserve"> </w:t>
      </w:r>
      <w:r>
        <w:rPr>
          <w:bCs/>
          <w:b/>
        </w:rPr>
        <w:t xml:space="preserve">Kuwait City</w:t>
      </w:r>
      <w:r>
        <w:t xml:space="preserve">. By embedding cultural intelligence, regulatory expertise, and tangible value into every interaction,</w:t>
      </w:r>
      <w:r>
        <w:t xml:space="preserve"> </w:t>
      </w:r>
      <w:r>
        <w:rPr>
          <w:bCs/>
          <w:b/>
        </w:rPr>
        <w:t xml:space="preserve">Judge</w:t>
      </w:r>
      <w:r>
        <w:t xml:space="preserve"> </w:t>
      </w:r>
      <w:r>
        <w:t xml:space="preserve">will become synonymous with efficiency and trust across Kuwait’s judiciary and business community. The strategic focus on</w:t>
      </w:r>
      <w:r>
        <w:t xml:space="preserve"> </w:t>
      </w:r>
      <w:r>
        <w:rPr>
          <w:bCs/>
          <w:b/>
        </w:rPr>
        <w:t xml:space="preserve">Kuwait City</w:t>
      </w:r>
      <w:r>
        <w:t xml:space="preserve"> </w:t>
      </w:r>
      <w:r>
        <w:t xml:space="preserve">ensures rapid market penetration while building a scalable foundation for Gulf expansion. With this plan,</w:t>
      </w:r>
      <w:r>
        <w:t xml:space="preserve"> </w:t>
      </w:r>
      <w:r>
        <w:rPr>
          <w:bCs/>
          <w:b/>
        </w:rPr>
        <w:t xml:space="preserve">Judge</w:t>
      </w:r>
      <w:r>
        <w:t xml:space="preserve"> </w:t>
      </w:r>
      <w:r>
        <w:t xml:space="preserve">will transform how justice is delivered in the heart of Kuwait—setting a new benchmark for legal technology in the Middle East.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Kuwait City</dc:title>
  <dc:creator/>
  <dc:language>en</dc:language>
  <cp:keywords/>
  <dcterms:created xsi:type="dcterms:W3CDTF">2026-07-23T19:20:26Z</dcterms:created>
  <dcterms:modified xsi:type="dcterms:W3CDTF">2026-07-23T19:20:26Z</dcterms:modified>
</cp:coreProperties>
</file>

<file path=docProps/custom.xml><?xml version="1.0" encoding="utf-8"?>
<Properties xmlns="http://schemas.openxmlformats.org/officeDocument/2006/custom-properties" xmlns:vt="http://schemas.openxmlformats.org/officeDocument/2006/docPropsVTypes"/>
</file>