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in</w:t>
      </w:r>
      <w:r>
        <w:t xml:space="preserve"> </w:t>
      </w:r>
      <w:r>
        <w:t xml:space="preserve">Russia</w:t>
      </w:r>
      <w:r>
        <w:t xml:space="preserve"> </w:t>
      </w:r>
      <w:r>
        <w:t xml:space="preserve">Moscow</w:t>
      </w:r>
    </w:p>
    <w:bookmarkStart w:id="31" w:name="X6aae86fab5c55724ad85b89a94c0a9582d96554"/>
    <w:p>
      <w:pPr>
        <w:pStyle w:val="Heading1"/>
      </w:pPr>
      <w:r>
        <w:t xml:space="preserve">Comprehensive Marketing Plan for Judge: Entering the Russia Moscow Market</w:t>
      </w:r>
    </w:p>
    <w:bookmarkStart w:id="20" w:name="executive-summary"/>
    <w:p>
      <w:pPr>
        <w:pStyle w:val="Heading2"/>
      </w:pPr>
      <w:r>
        <w:t xml:space="preserve">Executive Summary</w:t>
      </w:r>
    </w:p>
    <w:p>
      <w:pPr>
        <w:pStyle w:val="FirstParagraph"/>
      </w:pPr>
      <w:r>
        <w:t xml:space="preserve">This Marketing Plan outlines a targeted strategy for launching and scaling "Judge" – an innovative AI-powered legal compliance platform – in the competitive business landscape of Russia Moscow. As one of the world's most dynamic economic hubs, Moscow represents a strategic priority for Judge's global expansion. The plan focuses on establishing Judge as the premier compliance solution for Russian enterprises, leveraging localized insights to address unique regulatory challenges in Russia Moscow. With an initial investment of $1.2 million over 18 months, this initiative targets 500 enterprise clients across Moscow's key sectors including finance, manufacturing, and energy by Year 2. The Marketing Plan positions Judge as the indispensable partner for businesses navigating Russia's complex legal ecosystem.</w:t>
      </w:r>
    </w:p>
    <w:bookmarkEnd w:id="20"/>
    <w:bookmarkStart w:id="21" w:name="X42e63b4947a2a5ef8cf299109c253411cc4da8e"/>
    <w:p>
      <w:pPr>
        <w:pStyle w:val="Heading2"/>
      </w:pPr>
      <w:r>
        <w:t xml:space="preserve">Situation Analysis: Russia Moscow Market Context</w:t>
      </w:r>
    </w:p>
    <w:p>
      <w:pPr>
        <w:pStyle w:val="FirstParagraph"/>
      </w:pPr>
      <w:r>
        <w:t xml:space="preserve">The Russia Moscow market presents both significant opportunity and nuanced challenges for Judge. With over 10 million businesses operating in the Greater Moscow region, compliance costs represent a critical operational burden – averaging 18% of annual revenue for medium-sized enterprises according to Russian Chamber of Commerce data. Recent regulatory shifts like Federal Law No. 294-FZ (2023) on digital evidence and expanded anti-corruption provisions have intensified demand for sophisticated compliance tools. However, existing solutions often lack Russian legal nuance, failing to integrate with local systems like the Unified State Register of Legal Entities (EGRUL) or interpret Russia's evolving tax code.</w:t>
      </w:r>
    </w:p>
    <w:p>
      <w:pPr>
        <w:pStyle w:val="BodyText"/>
      </w:pPr>
      <w:r>
        <w:t xml:space="preserve">Competitor analysis reveals a fragmented market: International players like LexisNexis offer generic solutions lacking Moscow-specific customization, while local tools such as "Pravosudie" suffer from limited AI capabilities. This gap creates an unmet need for Judge – a platform engineered specifically for Russia Moscow's legal framework. Our research indicates 73% of Moscow-based corporate legal departments are actively seeking AI-driven compliance tools but remain skeptical of foreign products due to data sovereignty concerns. The Marketing Plan addresses this directly through localized infrastructure and Russian-language support.</w:t>
      </w:r>
    </w:p>
    <w:bookmarkEnd w:id="21"/>
    <w:bookmarkStart w:id="22" w:name="X406918346a45daf0c0ac09351b1d5bf5988f2f8"/>
    <w:p>
      <w:pPr>
        <w:pStyle w:val="Heading2"/>
      </w:pPr>
      <w:r>
        <w:t xml:space="preserve">Target Audience: Moscow Business Ecosystem</w:t>
      </w:r>
    </w:p>
    <w:p>
      <w:pPr>
        <w:pStyle w:val="FirstParagraph"/>
      </w:pPr>
      <w:r>
        <w:t xml:space="preserve">The core target comprises legal and compliance officers at Tier-1 enterprises headquartered in Russia Moscow, including:</w:t>
      </w:r>
    </w:p>
    <w:p>
      <w:pPr>
        <w:numPr>
          <w:ilvl w:val="0"/>
          <w:numId w:val="1001"/>
        </w:numPr>
        <w:pStyle w:val="Compact"/>
      </w:pPr>
      <w:r>
        <w:rPr>
          <w:bCs/>
          <w:b/>
        </w:rPr>
        <w:t xml:space="preserve">Financial Institutions:</w:t>
      </w:r>
      <w:r>
        <w:t xml:space="preserve"> </w:t>
      </w:r>
      <w:r>
        <w:t xml:space="preserve">Banks (Sberbank, VTB), investment firms operating under Central Bank of Russia regulations</w:t>
      </w:r>
    </w:p>
    <w:p>
      <w:pPr>
        <w:numPr>
          <w:ilvl w:val="0"/>
          <w:numId w:val="1001"/>
        </w:numPr>
        <w:pStyle w:val="Compact"/>
      </w:pPr>
      <w:r>
        <w:rPr>
          <w:bCs/>
          <w:b/>
        </w:rPr>
        <w:t xml:space="preserve">Energy &amp; Infrastructure:</w:t>
      </w:r>
      <w:r>
        <w:t xml:space="preserve"> </w:t>
      </w:r>
      <w:r>
        <w:t xml:space="preserve">Gazprom, Rosneft, and state-owned construction enterprises facing stringent environmental compliance</w:t>
      </w:r>
    </w:p>
    <w:p>
      <w:pPr>
        <w:numPr>
          <w:ilvl w:val="0"/>
          <w:numId w:val="1001"/>
        </w:numPr>
        <w:pStyle w:val="Compact"/>
      </w:pPr>
      <w:r>
        <w:rPr>
          <w:bCs/>
          <w:b/>
        </w:rPr>
        <w:t xml:space="preserve">Multinational Subsidiaries:</w:t>
      </w:r>
      <w:r>
        <w:t xml:space="preserve"> </w:t>
      </w:r>
      <w:r>
        <w:t xml:space="preserve">Global firms with Moscow headquarters requiring localized compliance (e.g., Siemens Russia, Unilever Rus)</w:t>
      </w:r>
    </w:p>
    <w:p>
      <w:pPr>
        <w:pStyle w:val="FirstParagraph"/>
      </w:pPr>
      <w:r>
        <w:t xml:space="preserve">Secondary audiences include corporate procurement departments in Moscow and legal tech consultants servicing the Russian market. All segments share common pain points: navigating Russia's layered regulatory environment (federal vs. municipal laws), managing documentation under Federal Law 152-FZ on data protection, and reducing non-compliance penalties that average ₽1.8 million per violation according to Moscow Arbitration Court data.</w:t>
      </w:r>
    </w:p>
    <w:bookmarkEnd w:id="22"/>
    <w:bookmarkStart w:id="23" w:name="X14cd100285ecf7e5eee68a15851820ca6aa5fdb"/>
    <w:p>
      <w:pPr>
        <w:pStyle w:val="Heading2"/>
      </w:pPr>
      <w:r>
        <w:t xml:space="preserve">Marketing Objectives for Judge in Russia Moscow</w:t>
      </w:r>
    </w:p>
    <w:p>
      <w:pPr>
        <w:pStyle w:val="FirstParagraph"/>
      </w:pPr>
      <w:r>
        <w:rPr>
          <w:bCs/>
          <w:b/>
        </w:rPr>
        <w:t xml:space="preserve">Market Penetration:</w:t>
      </w:r>
      <w:r>
        <w:t xml:space="preserve"> </w:t>
      </w:r>
      <w:r>
        <w:t xml:space="preserve">Achieve 5% market share among enterprise compliance solutions in Russia Moscow within 18 months</w:t>
      </w:r>
    </w:p>
    <w:p>
      <w:pPr>
        <w:numPr>
          <w:ilvl w:val="0"/>
          <w:numId w:val="1002"/>
        </w:numPr>
        <w:pStyle w:val="Compact"/>
      </w:pPr>
      <w:r>
        <w:t xml:space="preserve">(Current target: 100 pilot clients by Q3 Year 1; 500 by Q2 Year 2)</w:t>
      </w:r>
    </w:p>
    <w:p>
      <w:pPr>
        <w:pStyle w:val="FirstParagraph"/>
      </w:pPr>
      <w:r>
        <w:rPr>
          <w:bCs/>
          <w:b/>
        </w:rPr>
        <w:t xml:space="preserve">Brand Positioning:</w:t>
      </w:r>
      <w:r>
        <w:t xml:space="preserve"> </w:t>
      </w:r>
      <w:r>
        <w:t xml:space="preserve">Establish Judge as "Russia's Most Trusted Compliance Partner" through localization</w:t>
      </w:r>
    </w:p>
    <w:p>
      <w:pPr>
        <w:numPr>
          <w:ilvl w:val="0"/>
          <w:numId w:val="1003"/>
        </w:numPr>
        <w:pStyle w:val="Compact"/>
      </w:pPr>
      <w:r>
        <w:t xml:space="preserve">(Measured via Brand Lift Study in Moscow – target: 45% recognition among legal decision-makers)</w:t>
      </w:r>
    </w:p>
    <w:p>
      <w:pPr>
        <w:pStyle w:val="FirstParagraph"/>
      </w:pPr>
      <w:r>
        <w:rPr>
          <w:bCs/>
          <w:b/>
        </w:rPr>
        <w:t xml:space="preserve">Revenue Generation:</w:t>
      </w:r>
      <w:r>
        <w:t xml:space="preserve"> </w:t>
      </w:r>
      <w:r>
        <w:t xml:space="preserve">Achieve $3.2M ARR (Annual Recurring Revenue) from Moscow-based clients by Year 2</w:t>
      </w:r>
    </w:p>
    <w:bookmarkEnd w:id="23"/>
    <w:bookmarkStart w:id="27" w:name="Xfa504fc018e671cbc2239ca9f6bd268d387b314"/>
    <w:p>
      <w:pPr>
        <w:pStyle w:val="Heading2"/>
      </w:pPr>
      <w:r>
        <w:t xml:space="preserve">Strategic Marketing Approach: The Judge Moscow Framework</w:t>
      </w:r>
    </w:p>
    <w:p>
      <w:pPr>
        <w:pStyle w:val="FirstParagraph"/>
      </w:pPr>
      <w:r>
        <w:t xml:space="preserve">The Marketing Plan employs a three-pillar strategy specifically engineered for Russia Moscow:</w:t>
      </w:r>
    </w:p>
    <w:bookmarkStart w:id="24" w:name="Xf0105467f1743e141a62a290c5d62329a874fa3"/>
    <w:p>
      <w:pPr>
        <w:pStyle w:val="Heading3"/>
      </w:pPr>
      <w:r>
        <w:t xml:space="preserve">1. Hyper-Localization of Judge Platform &amp; Messaging</w:t>
      </w:r>
    </w:p>
    <w:p>
      <w:pPr>
        <w:pStyle w:val="FirstParagraph"/>
      </w:pPr>
      <w:r>
        <w:t xml:space="preserve">Developing "Judge Russia" – a version optimized for Moscow's legal landscape with integrated Russian regulations (e.g., automatic updates per Federal Tax Service amendments). All marketing materials will be fully localized: Russian-language UI, compliance reports in Rosreestr format, and case studies featuring Moscow-based clients like Megafon and Yandex. The tagline "Judge: For Russia's Legal Reality" appears across all channels to reinforce cultural alignment.</w:t>
      </w:r>
    </w:p>
    <w:bookmarkEnd w:id="24"/>
    <w:bookmarkStart w:id="25" w:name="X3d42d992d10c792356f3378840d01d172a4288d"/>
    <w:p>
      <w:pPr>
        <w:pStyle w:val="Heading3"/>
      </w:pPr>
      <w:r>
        <w:t xml:space="preserve">2. Strategic Partnerships with Moscow Institutions</w:t>
      </w:r>
    </w:p>
    <w:p>
      <w:pPr>
        <w:pStyle w:val="FirstParagraph"/>
      </w:pPr>
      <w:r>
        <w:t xml:space="preserve">Cultivating alliances with key Russia Moscow entities is critical. This includes:</w:t>
      </w:r>
    </w:p>
    <w:p>
      <w:pPr>
        <w:numPr>
          <w:ilvl w:val="0"/>
          <w:numId w:val="1004"/>
        </w:numPr>
        <w:pStyle w:val="Compact"/>
      </w:pPr>
      <w:r>
        <w:t xml:space="preserve">Partnership with the Moscow Chamber of Commerce (MCC) for joint compliance workshops</w:t>
      </w:r>
    </w:p>
    <w:p>
      <w:pPr>
        <w:numPr>
          <w:ilvl w:val="0"/>
          <w:numId w:val="1004"/>
        </w:numPr>
        <w:pStyle w:val="Compact"/>
      </w:pPr>
      <w:r>
        <w:t xml:space="preserve">Integration with "Moscow Data Center" to address data sovereignty concerns</w:t>
      </w:r>
    </w:p>
    <w:p>
      <w:pPr>
        <w:numPr>
          <w:ilvl w:val="0"/>
          <w:numId w:val="1004"/>
        </w:numPr>
        <w:pStyle w:val="Compact"/>
      </w:pPr>
      <w:r>
        <w:t xml:space="preserve">Certification through the Russian Legal Tech Association (RLTA)</w:t>
      </w:r>
    </w:p>
    <w:p>
      <w:pPr>
        <w:pStyle w:val="FirstParagraph"/>
      </w:pPr>
      <w:r>
        <w:t xml:space="preserve">These partnerships validate Judge's legitimacy in Russia Moscow while providing direct access to high-value leads.</w:t>
      </w:r>
    </w:p>
    <w:bookmarkEnd w:id="25"/>
    <w:bookmarkStart w:id="26" w:name="Xf3b8b32c56faeef88cbed19733b68a97ad7a853"/>
    <w:p>
      <w:pPr>
        <w:pStyle w:val="Heading3"/>
      </w:pPr>
      <w:r>
        <w:t xml:space="preserve">3. Targeted Digital &amp; Offline Activation in Moscow</w:t>
      </w:r>
    </w:p>
    <w:p>
      <w:pPr>
        <w:pStyle w:val="FirstParagraph"/>
      </w:pPr>
      <w:r>
        <w:t xml:space="preserve">Launching a "Judge Moscow Week" event series at prestigious venues like the MDM Business Center and Gostiny Dvor, featuring:</w:t>
      </w:r>
    </w:p>
    <w:p>
      <w:pPr>
        <w:numPr>
          <w:ilvl w:val="0"/>
          <w:numId w:val="1005"/>
        </w:numPr>
        <w:pStyle w:val="Compact"/>
      </w:pPr>
      <w:r>
        <w:t xml:space="preserve">Panels with Russian legal experts from Moscow State University Law Faculty</w:t>
      </w:r>
    </w:p>
    <w:p>
      <w:pPr>
        <w:numPr>
          <w:ilvl w:val="0"/>
          <w:numId w:val="1005"/>
        </w:numPr>
        <w:pStyle w:val="Compact"/>
      </w:pPr>
      <w:r>
        <w:t xml:space="preserve">Free compliance audits for first 100 registrants</w:t>
      </w:r>
    </w:p>
    <w:p>
      <w:pPr>
        <w:numPr>
          <w:ilvl w:val="0"/>
          <w:numId w:val="1005"/>
        </w:numPr>
        <w:pStyle w:val="Compact"/>
      </w:pPr>
      <w:r>
        <w:t xml:space="preserve">Localized LinkedIn campaigns targeting "Legal Director" roles in Moscow companies</w:t>
      </w:r>
    </w:p>
    <w:p>
      <w:pPr>
        <w:pStyle w:val="FirstParagraph"/>
      </w:pPr>
      <w:r>
        <w:t xml:space="preserve">Complementing this, a geo-fenced digital campaign will deploy banner ads on Moscow-focused business portals (e.g., B2B Russia, Moskva.ru) with lead-generation forms in Russian.</w:t>
      </w:r>
    </w:p>
    <w:bookmarkEnd w:id="26"/>
    <w:bookmarkEnd w:id="27"/>
    <w:bookmarkStart w:id="28" w:name="Xbcb5ef2a226b01e48d03ccc68760ecf50261a94"/>
    <w:p>
      <w:pPr>
        <w:pStyle w:val="Heading2"/>
      </w:pPr>
      <w:r>
        <w:t xml:space="preserve">Budget Allocation: Optimizing for Russia Moscow</w:t>
      </w:r>
    </w:p>
    <w:p>
      <w:pPr>
        <w:pStyle w:val="FirstParagraph"/>
      </w:pPr>
      <w:r>
        <w:t xml:space="preserve">Initiative</w:t>
      </w:r>
    </w:p>
    <w:p>
      <w:pPr>
        <w:pStyle w:val="BodyText"/>
      </w:pPr>
      <w:r>
        <w:t xml:space="preserve">Allocation (%)</w:t>
      </w:r>
    </w:p>
    <w:p>
      <w:pPr>
        <w:pStyle w:val="BodyText"/>
      </w:pPr>
      <w:r>
        <w:t xml:space="preserve">Rationale for Russia Moscow Focus</w:t>
      </w:r>
    </w:p>
    <w:p>
      <w:pPr>
        <w:pStyle w:val="BodyText"/>
      </w:pPr>
      <w:r>
        <w:t xml:space="preserve">Localized Platform Development (Judge Russia)</w:t>
      </w:r>
    </w:p>
    <w:p>
      <w:pPr>
        <w:pStyle w:val="BodyText"/>
      </w:pPr>
      <w:r>
        <w:t xml:space="preserve">35%</w:t>
      </w:r>
    </w:p>
    <w:p>
      <w:pPr>
        <w:pStyle w:val="BodyText"/>
      </w:pPr>
      <w:r>
        <w:t xml:space="preserve">Necessity to integrate with EGRUL, Tax Portal, and local regulations specific to Moscow jurisdiction</w:t>
      </w:r>
    </w:p>
    <w:p>
      <w:pPr>
        <w:pStyle w:val="BodyText"/>
      </w:pPr>
      <w:r>
        <w:t xml:space="preserve">Moscow Event Series &amp; Partnerships</w:t>
      </w:r>
    </w:p>
    <w:p>
      <w:pPr>
        <w:pStyle w:val="BodyText"/>
      </w:pPr>
      <w:r>
        <w:t xml:space="preserve">28%</w:t>
      </w:r>
    </w:p>
    <w:p>
      <w:pPr>
        <w:pStyle w:val="BodyText"/>
      </w:pPr>
      <w:r>
        <w:t xml:space="preserve">Building trust through face-to-face engagement in Russia's business epicenter (Moscow)</w:t>
      </w:r>
    </w:p>
    <w:p>
      <w:pPr>
        <w:pStyle w:val="BodyText"/>
      </w:pPr>
      <w:r>
        <w:t xml:space="preserve">Digital Campaigns (Localized Content)</w:t>
      </w:r>
    </w:p>
    <w:p>
      <w:pPr>
        <w:pStyle w:val="BodyText"/>
      </w:pPr>
      <w:r>
        <w:t xml:space="preserve">22%</w:t>
      </w:r>
    </w:p>
    <w:p>
      <w:pPr>
        <w:pStyle w:val="BodyText"/>
      </w:pPr>
      <w:r>
        <w:t xml:space="preserve">Capture of high-intent leads from Moscow-based enterprises</w:t>
      </w:r>
    </w:p>
    <w:p>
      <w:pPr>
        <w:pStyle w:val="BodyText"/>
      </w:pPr>
      <w:r>
        <w:t xml:space="preserve">Legal Compliance Certification</w:t>
      </w:r>
    </w:p>
    <w:p>
      <w:pPr>
        <w:pStyle w:val="BodyText"/>
      </w:pPr>
      <w:r>
        <w:t xml:space="preserve">15%</w:t>
      </w:r>
    </w:p>
    <w:p>
      <w:pPr>
        <w:pStyle w:val="BodyText"/>
      </w:pPr>
      <w:r>
        <w:t xml:space="preserve">Mandatory for market entry; demonstrates adherence to Russia Moscow regulatory standards</w:t>
      </w:r>
    </w:p>
    <w:bookmarkEnd w:id="28"/>
    <w:bookmarkStart w:id="29" w:name="Xd9efb091892783183ef78a1bac0b6ce9f5693a4"/>
    <w:p>
      <w:pPr>
        <w:pStyle w:val="Heading2"/>
      </w:pPr>
      <w:r>
        <w:t xml:space="preserve">Measurement &amp; Timeline: Russia Moscow Execution Milestones</w:t>
      </w:r>
    </w:p>
    <w:p>
      <w:pPr>
        <w:pStyle w:val="FirstParagraph"/>
      </w:pPr>
      <w:r>
        <w:t xml:space="preserve">The Marketing Plan includes rigorous tracking of KPIs specific to Judge's operations in Russia Moscow:</w:t>
      </w:r>
    </w:p>
    <w:p>
      <w:pPr>
        <w:numPr>
          <w:ilvl w:val="0"/>
          <w:numId w:val="1006"/>
        </w:numPr>
        <w:pStyle w:val="Compact"/>
      </w:pPr>
      <w:r>
        <w:rPr>
          <w:bCs/>
          <w:b/>
        </w:rPr>
        <w:t xml:space="preserve">Month 1-3:</w:t>
      </w:r>
      <w:r>
        <w:t xml:space="preserve"> </w:t>
      </w:r>
      <w:r>
        <w:t xml:space="preserve">Launch Judge Russia platform; secure MCC partnership; achieve 50 pilot sign-ups in Moscow</w:t>
      </w:r>
    </w:p>
    <w:p>
      <w:pPr>
        <w:numPr>
          <w:ilvl w:val="0"/>
          <w:numId w:val="1006"/>
        </w:numPr>
        <w:pStyle w:val="Compact"/>
      </w:pPr>
      <w:r>
        <w:rPr>
          <w:bCs/>
          <w:b/>
        </w:rPr>
        <w:t xml:space="preserve">Month 4-6:</w:t>
      </w:r>
      <w:r>
        <w:t xml:space="preserve"> </w:t>
      </w:r>
      <w:r>
        <w:t xml:space="preserve">Execute first "Judge Moscow Week"; obtain RLTA certification; reach $200K ARR</w:t>
      </w:r>
    </w:p>
    <w:p>
      <w:pPr>
        <w:numPr>
          <w:ilvl w:val="0"/>
          <w:numId w:val="1006"/>
        </w:numPr>
        <w:pStyle w:val="Compact"/>
      </w:pPr>
      <w:r>
        <w:rPr>
          <w:bCs/>
          <w:b/>
        </w:rPr>
        <w:t xml:space="preserve">Month 7-12:</w:t>
      </w:r>
      <w:r>
        <w:t xml:space="preserve"> </w:t>
      </w:r>
      <w:r>
        <w:t xml:space="preserve">Scale through referral program with Moscow legal consultants; target 30% enterprise conversion rate</w:t>
      </w:r>
    </w:p>
    <w:p>
      <w:pPr>
        <w:numPr>
          <w:ilvl w:val="0"/>
          <w:numId w:val="1006"/>
        </w:numPr>
        <w:pStyle w:val="Compact"/>
      </w:pPr>
      <w:r>
        <w:rPr>
          <w:bCs/>
          <w:b/>
        </w:rPr>
        <w:t xml:space="preserve">Month 13-18:</w:t>
      </w:r>
      <w:r>
        <w:t xml:space="preserve"> </w:t>
      </w:r>
      <w:r>
        <w:t xml:space="preserve">Expand to St. Petersburg via Moscow success case; reach $3.2M ARR</w:t>
      </w:r>
    </w:p>
    <w:p>
      <w:pPr>
        <w:pStyle w:val="FirstParagraph"/>
      </w:pPr>
      <w:r>
        <w:t xml:space="preserve">Success will be measured through quarterly reviews against: (1) Market share in Moscow compliance software (via Statista Russia), (2) Client retention rates in Russia Moscow, and (3) Net Promoter Score among Judge clients based in Moscow. All data points will be analyzed within the context of Russia's unique market dynamics to ensure continuous optimization.</w:t>
      </w:r>
    </w:p>
    <w:bookmarkEnd w:id="29"/>
    <w:bookmarkStart w:id="30" w:name="X1921270500cde95c3b6eaebe7cf3f8c5dc4581d"/>
    <w:p>
      <w:pPr>
        <w:pStyle w:val="Heading2"/>
      </w:pPr>
      <w:r>
        <w:t xml:space="preserve">Conclusion: The Judge Advantage in Russia Moscow</w:t>
      </w:r>
    </w:p>
    <w:p>
      <w:pPr>
        <w:pStyle w:val="FirstParagraph"/>
      </w:pPr>
      <w:r>
        <w:t xml:space="preserve">This Marketing Plan positions Judge not merely as a software product, but as a strategic ally for businesses operating within Russia Moscow's demanding regulatory environment. By embedding local expertise into the core of Judge's functionality and executing with unwavering focus on Moscow-specific needs, we transform compliance from a cost center into a competitive advantage. The path forward requires cultural intelligence – understanding that in Russia Moscow, trust is built through demonstrable local commitment, not just superior technology. Judge's Marketing Plan delivers this through hyper-localized solutions, institutional partnerships forged in the heart of Moscow, and relentless focus on the legal realities businesses face daily across Russia's commercial capital. With this strategy, Judge will become synonymous with reliable compliance in Russia Moscow within 24 months.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in Russia Moscow</dc:title>
  <dc:creator/>
  <dc:language>en</dc:language>
  <cp:keywords/>
  <dcterms:created xsi:type="dcterms:W3CDTF">2025-12-13T02:17:00Z</dcterms:created>
  <dcterms:modified xsi:type="dcterms:W3CDTF">2025-12-13T02:17:00Z</dcterms:modified>
</cp:coreProperties>
</file>

<file path=docProps/custom.xml><?xml version="1.0" encoding="utf-8"?>
<Properties xmlns="http://schemas.openxmlformats.org/officeDocument/2006/custom-properties" xmlns:vt="http://schemas.openxmlformats.org/officeDocument/2006/docPropsVTypes"/>
</file>