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p>
    <w:bookmarkStart w:id="36" w:name="Xa4f765092ea752e8cb038ece7e71c392a85cd15"/>
    <w:p>
      <w:pPr>
        <w:pStyle w:val="Heading1"/>
      </w:pPr>
      <w:r>
        <w:t xml:space="preserve">Comprehensive Marketing Plan for Judge: Establishing Market Leadership in United Kingdom London</w:t>
      </w:r>
    </w:p>
    <w:bookmarkStart w:id="20" w:name="executive-summary"/>
    <w:p>
      <w:pPr>
        <w:pStyle w:val="Heading2"/>
      </w:pPr>
      <w:r>
        <w:t xml:space="preserve">Executive Summary</w:t>
      </w:r>
    </w:p>
    <w:p>
      <w:pPr>
        <w:pStyle w:val="FirstParagraph"/>
      </w:pPr>
      <w:r>
        <w:t xml:space="preserve">This Marketing Plan outlines strategic initiatives to position</w:t>
      </w:r>
      <w:r>
        <w:t xml:space="preserve"> </w:t>
      </w:r>
      <w:r>
        <w:rPr>
          <w:bCs/>
          <w:b/>
        </w:rPr>
        <w:t xml:space="preserve">Judge</w:t>
      </w:r>
      <w:r>
        <w:t xml:space="preserve">, a premier legal technology solutions provider, as the undisputed leader in the United Kingdom London market. With London's legal sector generating over £18 billion annually and intense competition from global players, this plan details targeted actions to capture 35% market share within three years through hyper-localized digital engagement, strategic partnerships with key London institutions, and data-driven customer acquisition. The plan specifically addresses the unique dynamics of the</w:t>
      </w:r>
      <w:r>
        <w:t xml:space="preserve"> </w:t>
      </w:r>
      <w:r>
        <w:rPr>
          <w:bCs/>
          <w:b/>
        </w:rPr>
        <w:t xml:space="preserve">United Kingdom London</w:t>
      </w:r>
      <w:r>
        <w:t xml:space="preserve"> </w:t>
      </w:r>
      <w:r>
        <w:t xml:space="preserve">legal ecosystem where 68% of UK's law firms operate.</w:t>
      </w:r>
    </w:p>
    <w:bookmarkEnd w:id="20"/>
    <w:bookmarkStart w:id="21" w:name="Xc55ac336cb0dfe9d35f0a43a5ae34bfab53d7f6"/>
    <w:p>
      <w:pPr>
        <w:pStyle w:val="Heading2"/>
      </w:pPr>
      <w:r>
        <w:t xml:space="preserve">Situation Analysis: United Kingdom London Market Context</w:t>
      </w:r>
    </w:p>
    <w:p>
      <w:pPr>
        <w:pStyle w:val="FirstParagraph"/>
      </w:pPr>
      <w:r>
        <w:t xml:space="preserve">The legal technology landscape in</w:t>
      </w:r>
      <w:r>
        <w:t xml:space="preserve"> </w:t>
      </w:r>
      <w:r>
        <w:rPr>
          <w:bCs/>
          <w:b/>
        </w:rPr>
        <w:t xml:space="preserve">United Kingdom London</w:t>
      </w:r>
      <w:r>
        <w:t xml:space="preserve"> </w:t>
      </w:r>
      <w:r>
        <w:t xml:space="preserve">presents both challenges and opportunities. London hosts 1,400+ law firms, including 10 of the world's top 50 global firms, creating a highly competitive yet receptive market for innovative solutions. Recent sector analysis reveals critical pain points:</w:t>
      </w:r>
    </w:p>
    <w:p>
      <w:pPr>
        <w:numPr>
          <w:ilvl w:val="0"/>
          <w:numId w:val="1001"/>
        </w:numPr>
        <w:pStyle w:val="Compact"/>
      </w:pPr>
      <w:r>
        <w:t xml:space="preserve">72% of London law firms struggle with inefficient case management systems (LegalTech UK Report 2023)</w:t>
      </w:r>
    </w:p>
    <w:p>
      <w:pPr>
        <w:numPr>
          <w:ilvl w:val="0"/>
          <w:numId w:val="1001"/>
        </w:numPr>
        <w:pStyle w:val="Compact"/>
      </w:pPr>
      <w:r>
        <w:t xml:space="preserve">83% seek integrated AI tools compliant with UK GDPR and Solicitors Regulation Authority standards</w:t>
      </w:r>
    </w:p>
    <w:p>
      <w:pPr>
        <w:numPr>
          <w:ilvl w:val="0"/>
          <w:numId w:val="1001"/>
        </w:numPr>
        <w:pStyle w:val="Compact"/>
      </w:pPr>
      <w:r>
        <w:t xml:space="preserve">Only 19% use modern cloud-based legal platforms, indicating massive market opportunity</w:t>
      </w:r>
    </w:p>
    <w:p>
      <w:pPr>
        <w:pStyle w:val="FirstParagraph"/>
      </w:pPr>
      <w:r>
        <w:t xml:space="preserve">The current market leader (LexiCorp) holds 42% share but lacks London-specific customization, creating a strategic opening for</w:t>
      </w:r>
      <w:r>
        <w:t xml:space="preserve"> </w:t>
      </w:r>
      <w:r>
        <w:rPr>
          <w:bCs/>
          <w:b/>
        </w:rPr>
        <w:t xml:space="preserve">Judge</w:t>
      </w:r>
      <w:r>
        <w:t xml:space="preserve"> </w:t>
      </w:r>
      <w:r>
        <w:t xml:space="preserve">to differentiate through deep local expertise.</w:t>
      </w:r>
    </w:p>
    <w:bookmarkEnd w:id="21"/>
    <w:bookmarkStart w:id="25" w:name="target-audience-segmentation-in-london"/>
    <w:p>
      <w:pPr>
        <w:pStyle w:val="Heading2"/>
      </w:pPr>
      <w:r>
        <w:t xml:space="preserve">Target Audience Segmentation in London</w:t>
      </w:r>
    </w:p>
    <w:p>
      <w:pPr>
        <w:pStyle w:val="FirstParagraph"/>
      </w:pPr>
      <w:r>
        <w:t xml:space="preserve">We focus on three high-value segments within the United Kingdom London legal ecosystem:</w:t>
      </w:r>
    </w:p>
    <w:bookmarkStart w:id="22" w:name="global-law-firms-tier-1-tier-2"/>
    <w:p>
      <w:pPr>
        <w:pStyle w:val="Heading3"/>
      </w:pPr>
      <w:r>
        <w:t xml:space="preserve">1. Global Law Firms (Tier-1 &amp; Tier-2)</w:t>
      </w:r>
    </w:p>
    <w:p>
      <w:pPr>
        <w:pStyle w:val="FirstParagraph"/>
      </w:pPr>
      <w:r>
        <w:rPr>
          <w:iCs/>
          <w:i/>
        </w:rPr>
        <w:t xml:space="preserve">Location Focus:</w:t>
      </w:r>
      <w:r>
        <w:t xml:space="preserve"> </w:t>
      </w:r>
      <w:r>
        <w:t xml:space="preserve">Central London offices (City of Westminster, Canary Wharf)</w:t>
      </w:r>
      <w:r>
        <w:br/>
      </w:r>
      <w:r>
        <w:rPr>
          <w:iCs/>
          <w:i/>
        </w:rPr>
        <w:t xml:space="preserve">Key Need:</w:t>
      </w:r>
      <w:r>
        <w:t xml:space="preserve"> </w:t>
      </w:r>
      <w:r>
        <w:t xml:space="preserve">Scalable solutions for multinational caseloads requiring UK regulatory compliance</w:t>
      </w:r>
      <w:r>
        <w:br/>
      </w:r>
      <w:r>
        <w:rPr>
          <w:iCs/>
          <w:i/>
        </w:rPr>
        <w:t xml:space="preserve">Psychographics:</w:t>
      </w:r>
      <w:r>
        <w:t xml:space="preserve"> </w:t>
      </w:r>
      <w:r>
        <w:t xml:space="preserve">Time-poor partners valuing ROI and seamless integration with existing systems</w:t>
      </w:r>
    </w:p>
    <w:bookmarkEnd w:id="22"/>
    <w:bookmarkStart w:id="23" w:name="X2e3d6aa5c8eb04f9492fba50d142e35f2f05cf9"/>
    <w:p>
      <w:pPr>
        <w:pStyle w:val="Heading3"/>
      </w:pPr>
      <w:r>
        <w:t xml:space="preserve">2. Mid-Market London Law Firms (10-50 lawyers)</w:t>
      </w:r>
    </w:p>
    <w:p>
      <w:pPr>
        <w:pStyle w:val="FirstParagraph"/>
      </w:pPr>
      <w:r>
        <w:rPr>
          <w:iCs/>
          <w:i/>
        </w:rPr>
        <w:t xml:space="preserve">Location Focus:</w:t>
      </w:r>
      <w:r>
        <w:t xml:space="preserve"> </w:t>
      </w:r>
      <w:r>
        <w:t xml:space="preserve">Central London boroughs (Finsbury Park, Southwark, Kensington)</w:t>
      </w:r>
      <w:r>
        <w:br/>
      </w:r>
      <w:r>
        <w:rPr>
          <w:iCs/>
          <w:i/>
        </w:rPr>
        <w:t xml:space="preserve">Key Need:</w:t>
      </w:r>
      <w:r>
        <w:t xml:space="preserve"> </w:t>
      </w:r>
      <w:r>
        <w:t xml:space="preserve">Cost-effective automation for routine legal work without complex implementation</w:t>
      </w:r>
      <w:r>
        <w:br/>
      </w:r>
      <w:r>
        <w:rPr>
          <w:iCs/>
          <w:i/>
        </w:rPr>
        <w:t xml:space="preserve">Psychographics:</w:t>
      </w:r>
      <w:r>
        <w:t xml:space="preserve"> </w:t>
      </w:r>
      <w:r>
        <w:t xml:space="preserve">Growth-oriented firms seeking competitive differentiation through technology</w:t>
      </w:r>
    </w:p>
    <w:bookmarkEnd w:id="23"/>
    <w:bookmarkStart w:id="24" w:name="X2529a9dae60e302ad787b2417a7514812e44f7a"/>
    <w:p>
      <w:pPr>
        <w:pStyle w:val="Heading3"/>
      </w:pPr>
      <w:r>
        <w:t xml:space="preserve">3. Legal Tech Adoption Champions (In-House Counsel)</w:t>
      </w:r>
    </w:p>
    <w:p>
      <w:pPr>
        <w:pStyle w:val="FirstParagraph"/>
      </w:pPr>
      <w:r>
        <w:rPr>
          <w:iCs/>
          <w:i/>
        </w:rPr>
        <w:t xml:space="preserve">Location Focus:</w:t>
      </w:r>
      <w:r>
        <w:t xml:space="preserve"> </w:t>
      </w:r>
      <w:r>
        <w:t xml:space="preserve">Major corporate HQs across London (e.g., Bloomberg, HSBC, Lloyds)</w:t>
      </w:r>
      <w:r>
        <w:br/>
      </w:r>
      <w:r>
        <w:rPr>
          <w:iCs/>
          <w:i/>
        </w:rPr>
        <w:t xml:space="preserve">Key Need:</w:t>
      </w:r>
      <w:r>
        <w:t xml:space="preserve"> </w:t>
      </w:r>
      <w:r>
        <w:t xml:space="preserve">Vendor-agnostic platforms enabling legal teams to reduce external counsel costs</w:t>
      </w:r>
      <w:r>
        <w:br/>
      </w:r>
      <w:r>
        <w:rPr>
          <w:iCs/>
          <w:i/>
        </w:rPr>
        <w:t xml:space="preserve">Psychographics:</w:t>
      </w:r>
      <w:r>
        <w:t xml:space="preserve"> </w:t>
      </w:r>
      <w:r>
        <w:t xml:space="preserve">Tech-savvy decision-makers prioritizing data security and vendor reliability</w:t>
      </w:r>
    </w:p>
    <w:bookmarkEnd w:id="24"/>
    <w:bookmarkEnd w:id="25"/>
    <w:bookmarkStart w:id="26" w:name="Xcba9271c4f2d891a323e0c332317a9a15c90937"/>
    <w:p>
      <w:pPr>
        <w:pStyle w:val="Heading2"/>
      </w:pPr>
      <w:r>
        <w:t xml:space="preserve">Marketing Objectives for United Kingdom London (2024-2026)</w:t>
      </w:r>
    </w:p>
    <w:p>
      <w:pPr>
        <w:numPr>
          <w:ilvl w:val="0"/>
          <w:numId w:val="1002"/>
        </w:numPr>
        <w:pStyle w:val="Compact"/>
      </w:pPr>
      <w:r>
        <w:rPr>
          <w:bCs/>
          <w:b/>
        </w:rPr>
        <w:t xml:space="preserve">Brand Positioning:</w:t>
      </w:r>
      <w:r>
        <w:t xml:space="preserve"> </w:t>
      </w:r>
      <w:r>
        <w:t xml:space="preserve">Achieve 78% top-of-mind awareness among London legal decision-makers by Q3 2025</w:t>
      </w:r>
    </w:p>
    <w:p>
      <w:pPr>
        <w:numPr>
          <w:ilvl w:val="0"/>
          <w:numId w:val="1002"/>
        </w:numPr>
        <w:pStyle w:val="Compact"/>
      </w:pPr>
      <w:r>
        <w:rPr>
          <w:bCs/>
          <w:b/>
        </w:rPr>
        <w:t xml:space="preserve">Market Penetration:</w:t>
      </w:r>
      <w:r>
        <w:t xml:space="preserve"> </w:t>
      </w:r>
      <w:r>
        <w:t xml:space="preserve">Secure contracts with 150+ London firms (25% market share) within 18 months</w:t>
      </w:r>
    </w:p>
    <w:p>
      <w:pPr>
        <w:numPr>
          <w:ilvl w:val="0"/>
          <w:numId w:val="1002"/>
        </w:numPr>
        <w:pStyle w:val="Compact"/>
      </w:pPr>
      <w:r>
        <w:rPr>
          <w:bCs/>
          <w:b/>
        </w:rPr>
        <w:t xml:space="preserve">Digital Lead Generation:</w:t>
      </w:r>
      <w:r>
        <w:t xml:space="preserve"> </w:t>
      </w:r>
      <w:r>
        <w:t xml:space="preserve">Generate 1,800 qualified leads through London-specific digital campaigns in Year 1</w:t>
      </w:r>
    </w:p>
    <w:p>
      <w:pPr>
        <w:numPr>
          <w:ilvl w:val="0"/>
          <w:numId w:val="1002"/>
        </w:numPr>
        <w:pStyle w:val="Compact"/>
      </w:pPr>
      <w:r>
        <w:rPr>
          <w:bCs/>
          <w:b/>
        </w:rPr>
        <w:t xml:space="preserve">Client Retention:</w:t>
      </w:r>
      <w:r>
        <w:t xml:space="preserve"> </w:t>
      </w:r>
      <w:r>
        <w:t xml:space="preserve">Achieve 92% customer retention rate through hyper-personalized service (exceeding industry average of 85%)</w:t>
      </w:r>
    </w:p>
    <w:bookmarkEnd w:id="26"/>
    <w:bookmarkStart w:id="31" w:name="X8e9437a2066c88a582f49af1fae3ca9a3266dc2"/>
    <w:p>
      <w:pPr>
        <w:pStyle w:val="Heading2"/>
      </w:pPr>
      <w:r>
        <w:t xml:space="preserve">Strategic Marketing Mix: The Judge London Approach</w:t>
      </w:r>
    </w:p>
    <w:bookmarkStart w:id="27" w:name="X8b3994a19ecb414a15f2e3f97640e3578af7655"/>
    <w:p>
      <w:pPr>
        <w:pStyle w:val="Heading3"/>
      </w:pPr>
      <w:r>
        <w:t xml:space="preserve">Product Strategy: London-Centric Solutions</w:t>
      </w:r>
    </w:p>
    <w:p>
      <w:pPr>
        <w:pStyle w:val="FirstParagraph"/>
      </w:pPr>
      <w:r>
        <w:rPr>
          <w:bCs/>
          <w:b/>
        </w:rPr>
        <w:t xml:space="preserve">Judge</w:t>
      </w:r>
      <w:r>
        <w:t xml:space="preserve">'s core platform features mandatory UK-specific adaptations:</w:t>
      </w:r>
    </w:p>
    <w:p>
      <w:pPr>
        <w:numPr>
          <w:ilvl w:val="0"/>
          <w:numId w:val="1003"/>
        </w:numPr>
        <w:pStyle w:val="Compact"/>
      </w:pPr>
      <w:r>
        <w:rPr>
          <w:iCs/>
          <w:i/>
        </w:rPr>
        <w:t xml:space="preserve">Londinium Compliance Suite:</w:t>
      </w:r>
      <w:r>
        <w:t xml:space="preserve"> </w:t>
      </w:r>
      <w:r>
        <w:t xml:space="preserve">Auto-updating modules for UK case law, GDPR, and SRA regulations</w:t>
      </w:r>
    </w:p>
    <w:p>
      <w:pPr>
        <w:numPr>
          <w:ilvl w:val="0"/>
          <w:numId w:val="1003"/>
        </w:numPr>
        <w:pStyle w:val="Compact"/>
      </w:pPr>
      <w:r>
        <w:rPr>
          <w:iCs/>
          <w:i/>
        </w:rPr>
        <w:t xml:space="preserve">City of London Integration:</w:t>
      </w:r>
      <w:r>
        <w:t xml:space="preserve"> </w:t>
      </w:r>
      <w:r>
        <w:t xml:space="preserve">Real-time API connections with HM Courts &amp; Tribunals Service (HMCTS)</w:t>
      </w:r>
    </w:p>
    <w:p>
      <w:pPr>
        <w:numPr>
          <w:ilvl w:val="0"/>
          <w:numId w:val="1003"/>
        </w:numPr>
        <w:pStyle w:val="Compact"/>
      </w:pPr>
      <w:r>
        <w:rPr>
          <w:iCs/>
          <w:i/>
        </w:rPr>
        <w:t xml:space="preserve">Local Language Support:</w:t>
      </w:r>
      <w:r>
        <w:t xml:space="preserve"> </w:t>
      </w:r>
      <w:r>
        <w:t xml:space="preserve">Multilingual interface for London's diverse legal workforce (including French, Spanish, Mandarin)</w:t>
      </w:r>
    </w:p>
    <w:bookmarkEnd w:id="27"/>
    <w:bookmarkStart w:id="28" w:name="Xcdc9656dccd8916ec0149cdfbb27280f709b77d"/>
    <w:p>
      <w:pPr>
        <w:pStyle w:val="Heading3"/>
      </w:pPr>
      <w:r>
        <w:t xml:space="preserve">Pricing Strategy: Value-Based London Pricing</w:t>
      </w:r>
    </w:p>
    <w:p>
      <w:pPr>
        <w:pStyle w:val="FirstParagraph"/>
      </w:pPr>
      <w:r>
        <w:t xml:space="preserve">Rejecting global pricing models in favor of UK-specific tiers:</w:t>
      </w:r>
    </w:p>
    <w:p>
      <w:pPr>
        <w:numPr>
          <w:ilvl w:val="0"/>
          <w:numId w:val="1004"/>
        </w:numPr>
        <w:pStyle w:val="Compact"/>
      </w:pPr>
      <w:r>
        <w:rPr>
          <w:iCs/>
          <w:i/>
        </w:rPr>
        <w:t xml:space="preserve">City Starter:</w:t>
      </w:r>
      <w:r>
        <w:t xml:space="preserve"> </w:t>
      </w:r>
      <w:r>
        <w:t xml:space="preserve">£185/user/month (for firms with 5-20 lawyers - includes HMCTS integration)</w:t>
      </w:r>
    </w:p>
    <w:p>
      <w:pPr>
        <w:numPr>
          <w:ilvl w:val="0"/>
          <w:numId w:val="1004"/>
        </w:numPr>
        <w:pStyle w:val="Compact"/>
      </w:pPr>
      <w:r>
        <w:rPr>
          <w:iCs/>
          <w:i/>
        </w:rPr>
        <w:t xml:space="preserve">Tower Premium:</w:t>
      </w:r>
      <w:r>
        <w:t xml:space="preserve"> </w:t>
      </w:r>
      <w:r>
        <w:t xml:space="preserve">£349/user/month (all global features + dedicated London support team)</w:t>
      </w:r>
    </w:p>
    <w:p>
      <w:pPr>
        <w:numPr>
          <w:ilvl w:val="0"/>
          <w:numId w:val="1004"/>
        </w:numPr>
        <w:pStyle w:val="Compact"/>
      </w:pPr>
      <w:r>
        <w:rPr>
          <w:iCs/>
          <w:i/>
        </w:rPr>
        <w:t xml:space="preserve">Crown Enterprise:</w:t>
      </w:r>
      <w:r>
        <w:t xml:space="preserve"> </w:t>
      </w:r>
      <w:r>
        <w:t xml:space="preserve">Custom pricing with SRA-compliant data hosting in London (mandatory for all financial services firms)</w:t>
      </w:r>
    </w:p>
    <w:bookmarkEnd w:id="28"/>
    <w:bookmarkStart w:id="29" w:name="Xde59d4a378cf81ad9cd8067272c62220348a81e"/>
    <w:p>
      <w:pPr>
        <w:pStyle w:val="Heading3"/>
      </w:pPr>
      <w:r>
        <w:t xml:space="preserve">Distribution Strategy: Hyper-Localized Presence</w:t>
      </w:r>
    </w:p>
    <w:p>
      <w:pPr>
        <w:pStyle w:val="FirstParagraph"/>
      </w:pPr>
      <w:r>
        <w:t xml:space="preserve">Establishing physical and digital footholds across London:</w:t>
      </w:r>
    </w:p>
    <w:p>
      <w:pPr>
        <w:numPr>
          <w:ilvl w:val="0"/>
          <w:numId w:val="1005"/>
        </w:numPr>
        <w:pStyle w:val="Compact"/>
      </w:pPr>
      <w:r>
        <w:rPr>
          <w:iCs/>
          <w:i/>
        </w:rPr>
        <w:t xml:space="preserve">London Hub Office:</w:t>
      </w:r>
      <w:r>
        <w:t xml:space="preserve"> </w:t>
      </w:r>
      <w:r>
        <w:t xml:space="preserve">Open in Shoreditch (Q1 2024) with walk-in client services</w:t>
      </w:r>
    </w:p>
    <w:p>
      <w:pPr>
        <w:numPr>
          <w:ilvl w:val="0"/>
          <w:numId w:val="1005"/>
        </w:numPr>
        <w:pStyle w:val="Compact"/>
      </w:pPr>
      <w:r>
        <w:rPr>
          <w:iCs/>
          <w:i/>
        </w:rPr>
        <w:t xml:space="preserve">Dedicated London Support Team:</w:t>
      </w:r>
      <w:r>
        <w:t xml:space="preserve"> </w:t>
      </w:r>
      <w:r>
        <w:t xml:space="preserve">24/7 coverage with UK-qualified legal support staff</w:t>
      </w:r>
    </w:p>
    <w:bookmarkEnd w:id="29"/>
    <w:bookmarkStart w:id="30" w:name="X6051d41dc27bc06c2f89828fc873af214e85320"/>
    <w:p>
      <w:pPr>
        <w:pStyle w:val="Heading3"/>
      </w:pPr>
      <w:r>
        <w:t xml:space="preserve">Promotion Strategy: Immersive London Engagement</w:t>
      </w:r>
    </w:p>
    <w:p>
      <w:pPr>
        <w:pStyle w:val="FirstParagraph"/>
      </w:pPr>
      <w:r>
        <w:t xml:space="preserve">Multi-channel campaign designed for the UK legal community:</w:t>
      </w:r>
    </w:p>
    <w:p>
      <w:pPr>
        <w:numPr>
          <w:ilvl w:val="0"/>
          <w:numId w:val="1006"/>
        </w:numPr>
        <w:pStyle w:val="Compact"/>
      </w:pPr>
      <w:r>
        <w:rPr>
          <w:iCs/>
          <w:i/>
        </w:rPr>
        <w:t xml:space="preserve">London Legal Tech Summit:</w:t>
      </w:r>
      <w:r>
        <w:t xml:space="preserve"> </w:t>
      </w:r>
      <w:r>
        <w:t xml:space="preserve">Host annual event at The Shard (2024 target: 500+ attendees)</w:t>
      </w:r>
    </w:p>
    <w:p>
      <w:pPr>
        <w:numPr>
          <w:ilvl w:val="0"/>
          <w:numId w:val="1006"/>
        </w:numPr>
        <w:pStyle w:val="Compact"/>
      </w:pPr>
      <w:r>
        <w:rPr>
          <w:iCs/>
          <w:i/>
        </w:rPr>
        <w:t xml:space="preserve">District Digital Campaigns:</w:t>
      </w:r>
      <w:r>
        <w:t xml:space="preserve"> </w:t>
      </w:r>
      <w:r>
        <w:t xml:space="preserve">Geo-targeted LinkedIn/Google Ads for specific London boroughs</w:t>
      </w:r>
    </w:p>
    <w:p>
      <w:pPr>
        <w:numPr>
          <w:ilvl w:val="0"/>
          <w:numId w:val="1006"/>
        </w:numPr>
        <w:pStyle w:val="Compact"/>
      </w:pPr>
      <w:r>
        <w:rPr>
          <w:iCs/>
          <w:i/>
        </w:rPr>
        <w:t xml:space="preserve">City of London Ambassador Program:</w:t>
      </w:r>
      <w:r>
        <w:t xml:space="preserve"> </w:t>
      </w:r>
      <w:r>
        <w:t xml:space="preserve">Recruit 30 influential local lawyers as brand advocates</w:t>
      </w:r>
    </w:p>
    <w:p>
      <w:pPr>
        <w:numPr>
          <w:ilvl w:val="0"/>
          <w:numId w:val="1006"/>
        </w:numPr>
        <w:pStyle w:val="Compact"/>
      </w:pPr>
      <w:r>
        <w:rPr>
          <w:iCs/>
          <w:i/>
        </w:rPr>
        <w:t xml:space="preserve">Sponsorship of Legal Aid London Events:</w:t>
      </w:r>
      <w:r>
        <w:t xml:space="preserve"> </w:t>
      </w:r>
      <w:r>
        <w:t xml:space="preserve">Align with community initiatives to build social capital</w:t>
      </w:r>
    </w:p>
    <w:bookmarkEnd w:id="30"/>
    <w:bookmarkEnd w:id="31"/>
    <w:bookmarkStart w:id="32" w:name="X3509816ca176566b8c1ec6f8150f7808a735a69"/>
    <w:p>
      <w:pPr>
        <w:pStyle w:val="Heading2"/>
      </w:pPr>
      <w:r>
        <w:t xml:space="preserve">Implementation Timeline: United Kingdom London Launch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 for Judge in London</w:t>
            </w:r>
          </w:p>
        </w:tc>
        <w:tc>
          <w:tcPr/>
          <w:p>
            <w:pPr>
              <w:pStyle w:val="Compact"/>
              <w:jc w:val="left"/>
            </w:pPr>
            <w:r>
              <w:t xml:space="preserve">London-Specific Targets</w:t>
            </w:r>
          </w:p>
        </w:tc>
      </w:tr>
      <w:tr>
        <w:tc>
          <w:tcPr/>
          <w:p>
            <w:pPr>
              <w:pStyle w:val="Compact"/>
              <w:jc w:val="left"/>
            </w:pPr>
            <w:r>
              <w:t xml:space="preserve">Q1 2024</w:t>
            </w:r>
          </w:p>
        </w:tc>
        <w:tc>
          <w:tcPr/>
          <w:p>
            <w:pPr>
              <w:pStyle w:val="Compact"/>
              <w:jc w:val="left"/>
            </w:pPr>
            <w:r>
              <w:t xml:space="preserve">Launch London hub office; Begin city-specific SEO campaign; Secure 3 anchor clients from Canary Wharf firms</w:t>
            </w:r>
          </w:p>
        </w:tc>
        <w:tc>
          <w:tcPr/>
          <w:p>
            <w:pPr>
              <w:pStyle w:val="Compact"/>
              <w:jc w:val="left"/>
            </w:pPr>
            <w:r>
              <w:t xml:space="preserve">50 qualified leads; 3 pilot contracts</w:t>
            </w:r>
          </w:p>
        </w:tc>
      </w:tr>
      <w:tr>
        <w:tc>
          <w:tcPr/>
          <w:p>
            <w:pPr>
              <w:pStyle w:val="Compact"/>
              <w:jc w:val="left"/>
            </w:pPr>
            <w:r>
              <w:t xml:space="preserve">Q3 2024</w:t>
            </w:r>
          </w:p>
        </w:tc>
        <w:tc>
          <w:tcPr/>
          <w:p>
            <w:pPr>
              <w:pStyle w:val="Compact"/>
              <w:jc w:val="left"/>
            </w:pPr>
            <w:r>
              <w:t xml:space="preserve">Host inaugural London Legal Tech Summit; Roll out borough-specific digital campaigns (Westminster, City, Southwark)</w:t>
            </w:r>
          </w:p>
        </w:tc>
        <w:tc>
          <w:tcPr/>
          <w:p>
            <w:pPr>
              <w:pStyle w:val="Compact"/>
              <w:jc w:val="left"/>
            </w:pPr>
            <w:r>
              <w:t xml:space="preserve">150+ event attendees; 45% lead conversion rate</w:t>
            </w:r>
          </w:p>
        </w:tc>
      </w:tr>
      <w:tr>
        <w:tc>
          <w:tcPr/>
          <w:p>
            <w:pPr>
              <w:pStyle w:val="Compact"/>
              <w:jc w:val="left"/>
            </w:pPr>
            <w:r>
              <w:t xml:space="preserve">Q1 2025</w:t>
            </w:r>
          </w:p>
        </w:tc>
        <w:tc>
          <w:tcPr/>
          <w:p>
            <w:pPr>
              <w:pStyle w:val="Compact"/>
              <w:jc w:val="left"/>
            </w:pPr>
            <w:r>
              <w:t xml:space="preserve">Launch Crown Enterprise tier for financial firms; Achieve SRA accreditation for London data hosting</w:t>
            </w:r>
          </w:p>
        </w:tc>
        <w:tc>
          <w:tcPr/>
          <w:p>
            <w:pPr>
              <w:pStyle w:val="Compact"/>
              <w:jc w:val="left"/>
            </w:pPr>
            <w:r>
              <w:t xml:space="preserve">20 enterprise contracts; 95% client satisfaction score</w:t>
            </w:r>
          </w:p>
        </w:tc>
      </w:tr>
    </w:tbl>
    <w:bookmarkEnd w:id="32"/>
    <w:bookmarkStart w:id="33" w:name="X446a43569b781abe7a1d4602d328a38db6fc5da"/>
    <w:p>
      <w:pPr>
        <w:pStyle w:val="Heading2"/>
      </w:pPr>
      <w:r>
        <w:t xml:space="preserve">Budget Allocation: Focused London Investment</w:t>
      </w:r>
    </w:p>
    <w:p>
      <w:pPr>
        <w:pStyle w:val="FirstParagraph"/>
      </w:pPr>
      <w:r>
        <w:t xml:space="preserve">Total allocated budget: £1.8 million (47% of global marketing budget), specifically directed at UK London initiatives:</w:t>
      </w:r>
    </w:p>
    <w:p>
      <w:pPr>
        <w:numPr>
          <w:ilvl w:val="0"/>
          <w:numId w:val="1007"/>
        </w:numPr>
        <w:pStyle w:val="Compact"/>
      </w:pPr>
      <w:r>
        <w:t xml:space="preserve">55% - Digital campaigns with geo-targeting to London legal districts</w:t>
      </w:r>
    </w:p>
    <w:p>
      <w:pPr>
        <w:numPr>
          <w:ilvl w:val="0"/>
          <w:numId w:val="1007"/>
        </w:numPr>
        <w:pStyle w:val="Compact"/>
      </w:pPr>
      <w:r>
        <w:t xml:space="preserve">25% - Physical presence (hub office, events, support team)</w:t>
      </w:r>
    </w:p>
    <w:p>
      <w:pPr>
        <w:numPr>
          <w:ilvl w:val="0"/>
          <w:numId w:val="1007"/>
        </w:numPr>
        <w:pStyle w:val="Compact"/>
      </w:pPr>
      <w:r>
        <w:t xml:space="preserve">12% - Partnership development with London legal institutions</w:t>
      </w:r>
    </w:p>
    <w:p>
      <w:pPr>
        <w:numPr>
          <w:ilvl w:val="0"/>
          <w:numId w:val="1007"/>
        </w:numPr>
        <w:pStyle w:val="Compact"/>
      </w:pPr>
      <w:r>
        <w:t xml:space="preserve">8% - Localized content creation (UK case studies, SRA compliance guides)</w:t>
      </w:r>
    </w:p>
    <w:bookmarkEnd w:id="33"/>
    <w:bookmarkStart w:id="34" w:name="measurement-evaluation-framework"/>
    <w:p>
      <w:pPr>
        <w:pStyle w:val="Heading2"/>
      </w:pPr>
      <w:r>
        <w:t xml:space="preserve">Measurement &amp; Evaluation Framework</w:t>
      </w:r>
    </w:p>
    <w:p>
      <w:pPr>
        <w:pStyle w:val="FirstParagraph"/>
      </w:pPr>
      <w:r>
        <w:t xml:space="preserve">We track London-specific KPIs through Judge's proprietary analytics dashboard: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Tool</w:t>
            </w:r>
          </w:p>
        </w:tc>
      </w:tr>
      <w:tr>
        <w:tc>
          <w:tcPr/>
          <w:p>
            <w:pPr>
              <w:pStyle w:val="Compact"/>
              <w:jc w:val="left"/>
            </w:pPr>
            <w:r>
              <w:t xml:space="preserve">London Brand Awareness</w:t>
            </w:r>
          </w:p>
        </w:tc>
        <w:tc>
          <w:tcPr/>
          <w:p>
            <w:pPr>
              <w:pStyle w:val="Compact"/>
              <w:jc w:val="left"/>
            </w:pPr>
            <w:r>
              <w:t xml:space="preserve">78%</w:t>
            </w:r>
          </w:p>
        </w:tc>
        <w:tc>
          <w:tcPr/>
          <w:p>
            <w:pPr>
              <w:pStyle w:val="Compact"/>
              <w:jc w:val="left"/>
            </w:pPr>
            <w:r>
              <w:t xml:space="preserve">Nielsen Legal Media Surveys in UK London</w:t>
            </w:r>
          </w:p>
        </w:tc>
      </w:tr>
      <w:tr>
        <w:tc>
          <w:tcPr/>
          <w:p>
            <w:pPr>
              <w:pStyle w:val="Compact"/>
              <w:jc w:val="left"/>
            </w:pPr>
            <w:r>
              <w:t xml:space="preserve">Lead Conversion Rate (London)</w:t>
            </w:r>
          </w:p>
        </w:tc>
        <w:tc>
          <w:tcPr/>
          <w:p>
            <w:pPr>
              <w:pStyle w:val="Compact"/>
              <w:jc w:val="left"/>
            </w:pPr>
            <w:r>
              <w:t xml:space="preserve">45%</w:t>
            </w:r>
          </w:p>
        </w:tc>
        <w:tc>
          <w:tcPr/>
          <w:p>
            <w:pPr>
              <w:pStyle w:val="Compact"/>
              <w:jc w:val="left"/>
            </w:pPr>
            <w:r>
              <w:t xml:space="preserve">Campaign-specific UTM tracking</w:t>
            </w:r>
          </w:p>
        </w:tc>
      </w:tr>
      <w:tr>
        <w:tc>
          <w:tcPr/>
          <w:p>
            <w:pPr>
              <w:pStyle w:val="Compact"/>
              <w:jc w:val="left"/>
            </w:pPr>
            <w:r>
              <w:t xml:space="preserve">Customer Retention (London)</w:t>
            </w:r>
          </w:p>
        </w:tc>
        <w:tc>
          <w:tcPr/>
          <w:p>
            <w:pPr>
              <w:pStyle w:val="Compact"/>
              <w:jc w:val="left"/>
            </w:pPr>
            <w:r>
              <w:t xml:space="preserve">92%</w:t>
            </w:r>
          </w:p>
        </w:tc>
        <w:tc>
          <w:tcPr/>
          <w:p>
            <w:pPr>
              <w:pStyle w:val="Compact"/>
              <w:jc w:val="left"/>
            </w:pPr>
            <w:r>
              <w:t xml:space="preserve">SaaS platform usage analytics</w:t>
            </w:r>
          </w:p>
        </w:tc>
      </w:tr>
    </w:tbl>
    <w:bookmarkEnd w:id="34"/>
    <w:bookmarkStart w:id="35" w:name="conclusion-why-judge-wins-in-london"/>
    <w:p>
      <w:pPr>
        <w:pStyle w:val="Heading2"/>
      </w:pPr>
      <w:r>
        <w:t xml:space="preserve">Conclusion: Why Judge Wins in London</w:t>
      </w:r>
    </w:p>
    <w:p>
      <w:pPr>
        <w:pStyle w:val="FirstParagraph"/>
      </w:pPr>
      <w:r>
        <w:t xml:space="preserve">This Marketing Plan positions</w:t>
      </w:r>
      <w:r>
        <w:t xml:space="preserve"> </w:t>
      </w:r>
      <w:r>
        <w:rPr>
          <w:bCs/>
          <w:b/>
        </w:rPr>
        <w:t xml:space="preserve">Judge</w:t>
      </w:r>
      <w:r>
        <w:t xml:space="preserve"> </w:t>
      </w:r>
      <w:r>
        <w:t xml:space="preserve">not as another legal tech vendor, but as the indispensable London partner for legal excellence. By embedding UK-specific regulatory knowledge, leveraging hyper-localized engagement tactics across the United Kingdom London ecosystem, and building genuine community relationships through events like the London Legal Tech Summit, Judge will transform from a solution provider to the sector's trusted advisor. The strategic focus on London's unique legal geography – from City firms to Southwark-based practices – ensures every marketing dollar delivers maximum impact within this critical market. With these targeted initiatives, Judge will become synonymous with legal innovation in the heart of the United Kingdom's most dynamic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United Kingdom London</dc:title>
  <dc:creator/>
  <dc:language>en</dc:language>
  <cp:keywords/>
  <dcterms:created xsi:type="dcterms:W3CDTF">2026-07-24T12:11:49Z</dcterms:created>
  <dcterms:modified xsi:type="dcterms:W3CDTF">2026-07-24T12:11:49Z</dcterms:modified>
</cp:coreProperties>
</file>

<file path=docProps/custom.xml><?xml version="1.0" encoding="utf-8"?>
<Properties xmlns="http://schemas.openxmlformats.org/officeDocument/2006/custom-properties" xmlns:vt="http://schemas.openxmlformats.org/officeDocument/2006/docPropsVTypes"/>
</file>