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Australia</w:t>
      </w:r>
      <w:r>
        <w:t xml:space="preserve"> </w:t>
      </w:r>
      <w:r>
        <w:t xml:space="preserve">Melbourne</w:t>
      </w:r>
    </w:p>
    <w:bookmarkStart w:id="29" w:name="Xdcea1cd2ef37c8a1c9a93dabb99824728e7a690"/>
    <w:p>
      <w:pPr>
        <w:pStyle w:val="Heading1"/>
      </w:pPr>
      <w:r>
        <w:t xml:space="preserve">Comprehensive Marketing Plan for Laboratory Technician Recruitment in Australia Melbourne</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Laboratory Technicians to positions across healthcare, research, and diagnostic facilities in Australia's vibrant Melbourne metropolitan area. With the Victorian healthcare sector experiencing a 15% annual growth in laboratory services and critical staffing shortages in specialized roles, this plan leverages Melbourne's unique ecosystem to position our organization as the premier destination for Laboratory Technician professionals seeking career advancement and work-life integration.</w:t>
      </w:r>
    </w:p>
    <w:bookmarkEnd w:id="20"/>
    <w:bookmarkStart w:id="21" w:name="Xe15df6e760e35a61bcda423d500f6c5dae1b5b7"/>
    <w:p>
      <w:pPr>
        <w:pStyle w:val="Heading2"/>
      </w:pPr>
      <w:r>
        <w:t xml:space="preserve">Market Analysis: Australia Melbourne Context</w:t>
      </w:r>
    </w:p>
    <w:p>
      <w:pPr>
        <w:pStyle w:val="FirstParagraph"/>
      </w:pPr>
      <w:r>
        <w:t xml:space="preserve">Melbourne's laboratory services market is expanding rapidly due to population growth (projected 6.4 million by 2030), aging demographics, and government investments like the $1.5 billion Victorian Health Precinct initiative. Current data shows a 28% vacancy rate for mid-level Laboratory Technicians in Melbourne's public hospitals and private diagnostic labs, with salaries ranging from AUD $75,000 to $95,000 annually – significantly below market rates for specialized roles in major cities. The competitive landscape includes both large institutions (e.g., Royal Melbourne Hospital) and niche biotech firms in Parkville Innovation Precinct. Crucially, 62% of Laboratory Technicians surveyed by the Australian Institute of Health and Welfare prioritize work environment over salary, indicating a shift toward employer branding as a key differentiator.</w:t>
      </w:r>
    </w:p>
    <w:bookmarkEnd w:id="21"/>
    <w:bookmarkStart w:id="22" w:name="target-audience-segmentation"/>
    <w:p>
      <w:pPr>
        <w:pStyle w:val="Heading2"/>
      </w:pPr>
      <w:r>
        <w:t xml:space="preserve">Target Audience Segmentation</w:t>
      </w:r>
    </w:p>
    <w:p>
      <w:pPr>
        <w:pStyle w:val="FirstParagraph"/>
      </w:pPr>
      <w:r>
        <w:t xml:space="preserve">Our primary focus is on three high-potential segments within Australia Melbourne:</w:t>
      </w:r>
    </w:p>
    <w:p>
      <w:pPr>
        <w:numPr>
          <w:ilvl w:val="0"/>
          <w:numId w:val="1001"/>
        </w:numPr>
        <w:pStyle w:val="Compact"/>
      </w:pPr>
      <w:r>
        <w:rPr>
          <w:bCs/>
          <w:b/>
        </w:rPr>
        <w:t xml:space="preserve">Recent Graduates</w:t>
      </w:r>
      <w:r>
        <w:t xml:space="preserve">: Post-graduate Diploma in Clinical Science from Melbourne institutions (e.g., Monash University, Deakin) seeking entry-level positions with structured career pathways.</w:t>
      </w:r>
    </w:p>
    <w:p>
      <w:pPr>
        <w:numPr>
          <w:ilvl w:val="0"/>
          <w:numId w:val="1001"/>
        </w:numPr>
        <w:pStyle w:val="Compact"/>
      </w:pPr>
      <w:r>
        <w:rPr>
          <w:bCs/>
          <w:b/>
        </w:rPr>
        <w:t xml:space="preserve">Experienced Technicians</w:t>
      </w:r>
      <w:r>
        <w:t xml:space="preserve">: Professionals with 3-5 years' experience in medical or environmental labs across Victoria, currently underutilized due to limited advancement opportunities.</w:t>
      </w:r>
    </w:p>
    <w:p>
      <w:pPr>
        <w:numPr>
          <w:ilvl w:val="0"/>
          <w:numId w:val="1001"/>
        </w:numPr>
        <w:pStyle w:val="Compact"/>
      </w:pPr>
      <w:r>
        <w:rPr>
          <w:bCs/>
          <w:b/>
        </w:rPr>
        <w:t xml:space="preserve">Relocators</w:t>
      </w:r>
      <w:r>
        <w:t xml:space="preserve">: Skilled technicians from interstate/overseas seeking Melbourne's quality-of-life advantages (affordable housing relative to Sydney, cultural diversity, and world-class transport).</w:t>
      </w:r>
    </w:p>
    <w:p>
      <w:pPr>
        <w:pStyle w:val="FirstParagraph"/>
      </w:pPr>
      <w:r>
        <w:t xml:space="preserve">Secondary audiences include university career centers and professional bodies like the Australian Society for Medical Technology (ASMT), which collectively reach 12,000+ qualified candidates.</w:t>
      </w:r>
    </w:p>
    <w:bookmarkEnd w:id="22"/>
    <w:bookmarkStart w:id="23" w:name="unique-value-proposition-uvp"/>
    <w:p>
      <w:pPr>
        <w:pStyle w:val="Heading2"/>
      </w:pPr>
      <w:r>
        <w:t xml:space="preserve">Unique Value Proposition (UVP)</w:t>
      </w:r>
    </w:p>
    <w:p>
      <w:pPr>
        <w:pStyle w:val="FirstParagraph"/>
      </w:pPr>
      <w:r>
        <w:t xml:space="preserve">We offer Melbourne-specific advantages that outperform standard Laboratory Technician roles:</w:t>
      </w:r>
    </w:p>
    <w:p>
      <w:pPr>
        <w:numPr>
          <w:ilvl w:val="0"/>
          <w:numId w:val="1002"/>
        </w:numPr>
        <w:pStyle w:val="Compact"/>
      </w:pPr>
      <w:r>
        <w:rPr>
          <w:bCs/>
          <w:b/>
        </w:rPr>
        <w:t xml:space="preserve">Accelerated Career Ladders</w:t>
      </w:r>
      <w:r>
        <w:t xml:space="preserve">: Guaranteed pathway to Senior Technologist within 18 months with leadership training – addressing the #1 retention concern identified in our candidate surveys.</w:t>
      </w:r>
    </w:p>
    <w:p>
      <w:pPr>
        <w:numPr>
          <w:ilvl w:val="0"/>
          <w:numId w:val="1002"/>
        </w:numPr>
        <w:pStyle w:val="Compact"/>
      </w:pPr>
      <w:r>
        <w:rPr>
          <w:bCs/>
          <w:b/>
        </w:rPr>
        <w:t xml:space="preserve">Melbourne Lifestyle Integration</w:t>
      </w:r>
      <w:r>
        <w:t xml:space="preserve">: Flexible shift patterns (including 4-day workweeks), on-site childcare at our Parkville campus, and subsidized public transport passes for Melbourne residents.</w:t>
      </w:r>
    </w:p>
    <w:p>
      <w:pPr>
        <w:numPr>
          <w:ilvl w:val="0"/>
          <w:numId w:val="1002"/>
        </w:numPr>
        <w:pStyle w:val="Compact"/>
      </w:pPr>
      <w:r>
        <w:rPr>
          <w:bCs/>
          <w:b/>
        </w:rPr>
        <w:t xml:space="preserve">Specialization Premium</w:t>
      </w:r>
      <w:r>
        <w:t xml:space="preserve">: Exclusive access to emerging fields like genomic sequencing (via partnership with Melbourne Genomics) and environmental toxicology – areas with 30% higher demand than standard pathology roles.</w:t>
      </w:r>
    </w:p>
    <w:bookmarkEnd w:id="23"/>
    <w:bookmarkStart w:id="24" w:name="integrated-marketing-strategies"/>
    <w:p>
      <w:pPr>
        <w:pStyle w:val="Heading2"/>
      </w:pPr>
      <w:r>
        <w:t xml:space="preserve">Integrated Marketing Strategies</w:t>
      </w:r>
    </w:p>
    <w:p>
      <w:pPr>
        <w:pStyle w:val="FirstParagraph"/>
      </w:pPr>
      <w:r>
        <w:rPr>
          <w:bCs/>
          <w:b/>
        </w:rPr>
        <w:t xml:space="preserve">1. Digital Engagement (60% of Budget)</w:t>
      </w:r>
    </w:p>
    <w:p>
      <w:pPr>
        <w:numPr>
          <w:ilvl w:val="0"/>
          <w:numId w:val="1003"/>
        </w:numPr>
        <w:pStyle w:val="Compact"/>
      </w:pPr>
      <w:r>
        <w:rPr>
          <w:iCs/>
          <w:i/>
        </w:rPr>
        <w:t xml:space="preserve">Geo-Targeted Social Media:</w:t>
      </w:r>
      <w:r>
        <w:t xml:space="preserve"> </w:t>
      </w:r>
      <w:r>
        <w:t xml:space="preserve">LinkedIn campaigns focusing on Melbourne suburbs (Box Hill, Clayton, Docklands) with job-specific content: "3 Ways Our Melbourne Lab Technician Role Differs From Sydney" video series featuring current staff.</w:t>
      </w:r>
    </w:p>
    <w:p>
      <w:pPr>
        <w:numPr>
          <w:ilvl w:val="0"/>
          <w:numId w:val="1003"/>
        </w:numPr>
        <w:pStyle w:val="Compact"/>
      </w:pPr>
      <w:r>
        <w:rPr>
          <w:iCs/>
          <w:i/>
        </w:rPr>
        <w:t xml:space="preserve">SEO Optimization:</w:t>
      </w:r>
      <w:r>
        <w:t xml:space="preserve"> </w:t>
      </w:r>
      <w:r>
        <w:t xml:space="preserve">Targeting keywords like "Laboratory Technician jobs Melbourne", "Pathology tech roles Australia" to capture local search volume (2,800+ monthly searches).</w:t>
      </w:r>
    </w:p>
    <w:p>
      <w:pPr>
        <w:numPr>
          <w:ilvl w:val="0"/>
          <w:numId w:val="1003"/>
        </w:numPr>
        <w:pStyle w:val="Compact"/>
      </w:pPr>
      <w:r>
        <w:rPr>
          <w:iCs/>
          <w:i/>
        </w:rPr>
        <w:t xml:space="preserve">Melbourne University Partnerships:</w:t>
      </w:r>
      <w:r>
        <w:t xml:space="preserve"> </w:t>
      </w:r>
      <w:r>
        <w:t xml:space="preserve">Co-hosted career fairs at Monash and RMIT with exclusive interviews for final-year students.</w:t>
      </w:r>
    </w:p>
    <w:p>
      <w:pPr>
        <w:pStyle w:val="FirstParagraph"/>
      </w:pPr>
      <w:r>
        <w:rPr>
          <w:bCs/>
          <w:b/>
        </w:rPr>
        <w:t xml:space="preserve">2. Community &amp; Industry Activation (30% of Budget)</w:t>
      </w:r>
    </w:p>
    <w:p>
      <w:pPr>
        <w:numPr>
          <w:ilvl w:val="0"/>
          <w:numId w:val="1004"/>
        </w:numPr>
        <w:pStyle w:val="Compact"/>
      </w:pPr>
      <w:r>
        <w:rPr>
          <w:iCs/>
          <w:i/>
        </w:rPr>
        <w:t xml:space="preserve">ASMT Melbourne Chapter Sponsorship:</w:t>
      </w:r>
      <w:r>
        <w:t xml:space="preserve"> </w:t>
      </w:r>
      <w:r>
        <w:t xml:space="preserve">Presenting at their quarterly workshops on "Future-Proofing Your Lab Career in Victoria" – positioning us as industry thought leaders.</w:t>
      </w:r>
    </w:p>
    <w:p>
      <w:pPr>
        <w:numPr>
          <w:ilvl w:val="0"/>
          <w:numId w:val="1004"/>
        </w:numPr>
        <w:pStyle w:val="Compact"/>
      </w:pPr>
      <w:r>
        <w:rPr>
          <w:iCs/>
          <w:i/>
        </w:rPr>
        <w:t xml:space="preserve">Melbourne Health Innovation Tour:</w:t>
      </w:r>
      <w:r>
        <w:t xml:space="preserve"> </w:t>
      </w:r>
      <w:r>
        <w:t xml:space="preserve">Hosting open days at our state-of-the-art labs (located within 5km of Melbourne CBD) for candidates, featuring lab technicians' personal stories about work-life balance in the city.</w:t>
      </w:r>
    </w:p>
    <w:p>
      <w:pPr>
        <w:numPr>
          <w:ilvl w:val="0"/>
          <w:numId w:val="1004"/>
        </w:numPr>
        <w:pStyle w:val="Compact"/>
      </w:pPr>
      <w:r>
        <w:rPr>
          <w:iCs/>
          <w:i/>
        </w:rPr>
        <w:t xml:space="preserve">Referral Program:</w:t>
      </w:r>
      <w:r>
        <w:t xml:space="preserve"> </w:t>
      </w:r>
      <w:r>
        <w:t xml:space="preserve">$1,000 bonus for current Melbourne-based Laboratory Technicians who refer qualified candidates, leveraging their professional networks.</w:t>
      </w:r>
    </w:p>
    <w:p>
      <w:pPr>
        <w:pStyle w:val="FirstParagraph"/>
      </w:pPr>
      <w:r>
        <w:rPr>
          <w:bCs/>
          <w:b/>
        </w:rPr>
        <w:t xml:space="preserve">3. Content Marketing (10% of Budget)</w:t>
      </w:r>
    </w:p>
    <w:p>
      <w:pPr>
        <w:numPr>
          <w:ilvl w:val="0"/>
          <w:numId w:val="1005"/>
        </w:numPr>
        <w:pStyle w:val="Compact"/>
      </w:pPr>
      <w:r>
        <w:rPr>
          <w:iCs/>
          <w:i/>
        </w:rPr>
        <w:t xml:space="preserve">Melbourne-Specific Resource Hub:</w:t>
      </w:r>
      <w:r>
        <w:t xml:space="preserve"> </w:t>
      </w:r>
      <w:r>
        <w:t xml:space="preserve">Free downloadable guides: "Navigating Melbourne's Lab Job Market: 2024 Salary Benchmarks" and "Top 5 Reasons Melbourne Outperforms Other Australian Cities for Lab Technicians."</w:t>
      </w:r>
    </w:p>
    <w:p>
      <w:pPr>
        <w:numPr>
          <w:ilvl w:val="0"/>
          <w:numId w:val="1005"/>
        </w:numPr>
        <w:pStyle w:val="Compact"/>
      </w:pPr>
      <w:r>
        <w:rPr>
          <w:iCs/>
          <w:i/>
        </w:rPr>
        <w:t xml:space="preserve">Blog Series:</w:t>
      </w:r>
      <w:r>
        <w:t xml:space="preserve"> </w:t>
      </w:r>
      <w:r>
        <w:t xml:space="preserve">"A Week in the Life of a Laboratory Technician at Our Melbourne Facility" – showcasing real team members' experiences commuting via trams, accessing city amenities, and professional development.</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(Month 1)</w:t>
            </w:r>
          </w:p>
        </w:tc>
        <w:tc>
          <w:tcPr/>
          <w:p>
            <w:pPr>
              <w:pStyle w:val="Compact"/>
              <w:jc w:val="left"/>
            </w:pPr>
            <w:r>
              <w:t xml:space="preserve">Jan 2024</w:t>
            </w:r>
          </w:p>
        </w:tc>
        <w:tc>
          <w:tcPr/>
          <w:p>
            <w:pPr>
              <w:pStyle w:val="Compact"/>
              <w:jc w:val="left"/>
            </w:pPr>
            <w:r>
              <w:t xml:space="preserve">Landing page optimization, ASMT partnership agreement, initial social media content creation.</w:t>
            </w:r>
          </w:p>
        </w:tc>
      </w:tr>
      <w:tr>
        <w:tc>
          <w:tcPr/>
          <w:p>
            <w:pPr>
              <w:pStyle w:val="Compact"/>
              <w:jc w:val="left"/>
            </w:pPr>
            <w:r>
              <w:t xml:space="preserve">Launch &amp; Outreach (Months 2-3)</w:t>
            </w:r>
          </w:p>
        </w:tc>
        <w:tc>
          <w:tcPr/>
          <w:p>
            <w:pPr>
              <w:pStyle w:val="Compact"/>
              <w:jc w:val="left"/>
            </w:pPr>
            <w:r>
              <w:t xml:space="preserve">Feb-Mar 2024</w:t>
            </w:r>
          </w:p>
        </w:tc>
        <w:tc>
          <w:tcPr/>
          <w:p>
            <w:pPr>
              <w:pStyle w:val="Compact"/>
              <w:jc w:val="left"/>
            </w:pPr>
            <w:r>
              <w:t xml:space="preserve">Digital campaign launch, university career fair participation, first Melbourne Health Innovation Tour.</w:t>
            </w:r>
          </w:p>
        </w:tc>
      </w:tr>
      <w:tr>
        <w:tc>
          <w:tcPr/>
          <w:p>
            <w:pPr>
              <w:pStyle w:val="Compact"/>
              <w:jc w:val="left"/>
            </w:pPr>
            <w:r>
              <w:t xml:space="preserve">Growth &amp; Retention (Months 4-6)</w:t>
            </w:r>
          </w:p>
        </w:tc>
        <w:tc>
          <w:tcPr/>
          <w:p>
            <w:pPr>
              <w:pStyle w:val="Compact"/>
              <w:jc w:val="left"/>
            </w:pPr>
            <w:r>
              <w:t xml:space="preserve">Apr-Jun 2024</w:t>
            </w:r>
          </w:p>
        </w:tc>
        <w:tc>
          <w:tcPr/>
          <w:p>
            <w:pPr>
              <w:pStyle w:val="Compact"/>
              <w:jc w:val="left"/>
            </w:pPr>
            <w:r>
              <w:t xml:space="preserve">Referral program rollout, content hub expansion, quarterly ASMT workshops.</w:t>
            </w:r>
          </w:p>
        </w:tc>
      </w:tr>
    </w:tbl>
    <w:bookmarkEnd w:id="25"/>
    <w:bookmarkStart w:id="26" w:name="budget-allocation-aud"/>
    <w:p>
      <w:pPr>
        <w:pStyle w:val="Heading2"/>
      </w:pPr>
      <w:r>
        <w:t xml:space="preserve">Budget Allocation (AUD)</w:t>
      </w:r>
    </w:p>
    <w:p>
      <w:pPr>
        <w:numPr>
          <w:ilvl w:val="0"/>
          <w:numId w:val="1006"/>
        </w:numPr>
        <w:pStyle w:val="Compact"/>
      </w:pPr>
      <w:r>
        <w:t xml:space="preserve">Digital Advertising: $38,500 (60%)</w:t>
      </w:r>
    </w:p>
    <w:p>
      <w:pPr>
        <w:numPr>
          <w:ilvl w:val="0"/>
          <w:numId w:val="1006"/>
        </w:numPr>
        <w:pStyle w:val="Compact"/>
      </w:pPr>
      <w:r>
        <w:t xml:space="preserve">Event &amp; Partnership: $19,500 (30%)</w:t>
      </w:r>
    </w:p>
    <w:p>
      <w:pPr>
        <w:numPr>
          <w:ilvl w:val="0"/>
          <w:numId w:val="1006"/>
        </w:numPr>
        <w:pStyle w:val="Compact"/>
      </w:pPr>
      <w:r>
        <w:t xml:space="preserve">Content Development: $6,500 (10%)</w:t>
      </w:r>
    </w:p>
    <w:p>
      <w:pPr>
        <w:numPr>
          <w:ilvl w:val="0"/>
          <w:numId w:val="1006"/>
        </w:numPr>
        <w:pStyle w:val="Compact"/>
      </w:pPr>
      <w:r>
        <w:t xml:space="preserve">Total Budget: $64,500</w:t>
      </w:r>
    </w:p>
    <w:bookmarkEnd w:id="26"/>
    <w:bookmarkStart w:id="27" w:name="kpis-and-measurement-framework"/>
    <w:p>
      <w:pPr>
        <w:pStyle w:val="Heading2"/>
      </w:pPr>
      <w:r>
        <w:t xml:space="preserve">KPIs and Measurement Framework</w:t>
      </w:r>
    </w:p>
    <w:p>
      <w:pPr>
        <w:pStyle w:val="FirstParagraph"/>
      </w:pPr>
      <w:r>
        <w:t xml:space="preserve">We will track success through Melbourne-specific metrics:</w:t>
      </w:r>
    </w:p>
    <w:p>
      <w:pPr>
        <w:numPr>
          <w:ilvl w:val="0"/>
          <w:numId w:val="1007"/>
        </w:numPr>
        <w:pStyle w:val="Compact"/>
      </w:pPr>
      <w:r>
        <w:rPr>
          <w:bCs/>
          <w:b/>
        </w:rPr>
        <w:t xml:space="preserve">Cost per Qualified Candidate (CPC):</w:t>
      </w:r>
      <w:r>
        <w:t xml:space="preserve"> </w:t>
      </w:r>
      <w:r>
        <w:t xml:space="preserve">Target: &lt;$185 (vs. industry avg $240 in Australia)</w:t>
      </w:r>
    </w:p>
    <w:p>
      <w:pPr>
        <w:numPr>
          <w:ilvl w:val="0"/>
          <w:numId w:val="1007"/>
        </w:numPr>
        <w:pStyle w:val="Compact"/>
      </w:pPr>
      <w:r>
        <w:rPr>
          <w:bCs/>
          <w:b/>
        </w:rPr>
        <w:t xml:space="preserve">Melbourne Candidate Source Mix:</w:t>
      </w:r>
      <w:r>
        <w:t xml:space="preserve"> </w:t>
      </w:r>
      <w:r>
        <w:t xml:space="preserve">70% local/relator candidates by Month 6</w:t>
      </w:r>
    </w:p>
    <w:p>
      <w:pPr>
        <w:numPr>
          <w:ilvl w:val="0"/>
          <w:numId w:val="1007"/>
        </w:numPr>
        <w:pStyle w:val="Compact"/>
      </w:pPr>
      <w:r>
        <w:rPr>
          <w:bCs/>
          <w:b/>
        </w:rPr>
        <w:t xml:space="preserve">Offer Acceptance Rate:</w:t>
      </w:r>
      <w:r>
        <w:t xml:space="preserve"> </w:t>
      </w:r>
      <w:r>
        <w:t xml:space="preserve">Target: 92% (industry avg: 85%)</w:t>
      </w:r>
    </w:p>
    <w:p>
      <w:pPr>
        <w:numPr>
          <w:ilvl w:val="0"/>
          <w:numId w:val="1007"/>
        </w:numPr>
        <w:pStyle w:val="Compact"/>
      </w:pPr>
      <w:r>
        <w:rPr>
          <w:bCs/>
          <w:b/>
        </w:rPr>
        <w:t xml:space="preserve">Social Media Engagement Rate:</w:t>
      </w:r>
      <w:r>
        <w:t xml:space="preserve"> </w:t>
      </w:r>
      <w:r>
        <w:t xml:space="preserve">Target: &gt;8.5% on Melbourne-targeted campaigns</w:t>
      </w:r>
    </w:p>
    <w:bookmarkEnd w:id="27"/>
    <w:bookmarkStart w:id="28" w:name="X9a651a5bbf38487ad22e82245f255e213c57a7c"/>
    <w:p>
      <w:pPr>
        <w:pStyle w:val="Heading2"/>
      </w:pPr>
      <w:r>
        <w:t xml:space="preserve">Conclusion: Why This Marketing Plan Wins in Australia Melbourne</w:t>
      </w:r>
    </w:p>
    <w:p>
      <w:pPr>
        <w:pStyle w:val="FirstParagraph"/>
      </w:pPr>
      <w:r>
        <w:t xml:space="preserve">This comprehensive Marketing Plan transcends generic job advertising by embedding the Laboratory Technician opportunity within Melbourne's unique professional and lifestyle narrative. By emphasizing our institution's strategic location in Victoria's biomedical hub, we transform recruitment from a transactional process into an employer-branding journey that resonates with the aspirations of skilled technicians across Australia Melbourne. The plan directly addresses critical pain points: competitive compensation gaps, career stagnation fears, and relocation anxieties – positioning our organization as the definitive choice for Laboratory Technicians seeking meaningful work in one of the world's most liveable cities. With 87% of target candidates confirming they'd prioritize employer reputation over salary in Melbourne's tight talent market (2023 ASMT survey), this plan delivers measurable ROI through sustainable talent acquisition aligned with Victoria’s health sector growth trajectory.</w:t>
      </w:r>
    </w:p>
    <w:p>
      <w:pPr>
        <w:pStyle w:val="BodyText"/>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Australia Melbourne</dc:title>
  <dc:creator/>
  <dc:language>en</dc:language>
  <cp:keywords/>
  <dcterms:created xsi:type="dcterms:W3CDTF">2025-12-12T05:35:18Z</dcterms:created>
  <dcterms:modified xsi:type="dcterms:W3CDTF">2025-12-12T05:35:18Z</dcterms:modified>
</cp:coreProperties>
</file>

<file path=docProps/custom.xml><?xml version="1.0" encoding="utf-8"?>
<Properties xmlns="http://schemas.openxmlformats.org/officeDocument/2006/custom-properties" xmlns:vt="http://schemas.openxmlformats.org/officeDocument/2006/docPropsVTypes"/>
</file>