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Beijing,</w:t>
      </w:r>
      <w:r>
        <w:t xml:space="preserve"> </w:t>
      </w:r>
      <w:r>
        <w:t xml:space="preserve">China</w:t>
      </w:r>
    </w:p>
    <w:bookmarkStart w:id="31" w:name="X32ba29bbd0b9dbbf8fe2aa6ef751d6dba34d34f"/>
    <w:p>
      <w:pPr>
        <w:pStyle w:val="Heading1"/>
      </w:pPr>
      <w:r>
        <w:t xml:space="preserve">Comprehensive Marketing Plan: Strategic Recruitment of Laboratory Technicians in Beijing, China</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Laboratory Technicians across Beijing's rapidly expanding healthcare and biotechnology sectors. With Beijing positioning itself as China's premier hub for scientific innovation under initiatives like "Beijing Science and Technology Innovation Center," demand for skilled laboratory professionals has surged by 35% in the past two years. This plan leverages local market intelligence to position recruitment as a strategic priority, ensuring Beijing-based institutions secure top-tier Laboratory Technician talent to support medical advancement and industrial growth.</w:t>
      </w:r>
    </w:p>
    <w:bookmarkEnd w:id="20"/>
    <w:bookmarkStart w:id="21" w:name="X2a03dacec6c2afde6ec7bc9616638d1b3e09495"/>
    <w:p>
      <w:pPr>
        <w:pStyle w:val="Heading2"/>
      </w:pPr>
      <w:r>
        <w:t xml:space="preserve">Market Analysis: Beijing's Laboratory Technician Demand Landscape</w:t>
      </w:r>
    </w:p>
    <w:p>
      <w:pPr>
        <w:pStyle w:val="FirstParagraph"/>
      </w:pPr>
      <w:r>
        <w:t xml:space="preserve">Beijing's healthcare ecosystem—home to 53 tertiary hospitals, 12 major research institutes (including Peking University Health Science Center and Chinese Academy of Medical Sciences), and over 300 biotech firms—faces a severe deficit in Laboratory Technicians. Current statistics reveal a shortage of approximately 15,000 technicians citywide, driven by aging infrastructure, rapid hospital expansions under Beijing's "Healthy City 2035" initiative, and stringent quality controls mandated by China's National Medical Products Administration (NMPA). This gap directly impacts diagnostic accuracy, research output, and pandemic preparedness. Crucially, 78% of Beijing-based labs report delayed test processing due to understaffing (Beijing Health Bureau Report, 2023).</w:t>
      </w:r>
    </w:p>
    <w:bookmarkEnd w:id="21"/>
    <w:bookmarkStart w:id="22" w:name="X5d27827db6ec2e719ac414773637e09724fe54a"/>
    <w:p>
      <w:pPr>
        <w:pStyle w:val="Heading2"/>
      </w:pPr>
      <w:r>
        <w:t xml:space="preserve">Target Audience: Defining the Ideal Laboratory Technician</w:t>
      </w:r>
    </w:p>
    <w:p>
      <w:pPr>
        <w:pStyle w:val="FirstParagraph"/>
      </w:pPr>
      <w:r>
        <w:t xml:space="preserve">This plan focuses on recruiting two key segments in China Beijing:</w:t>
      </w:r>
    </w:p>
    <w:p>
      <w:pPr>
        <w:numPr>
          <w:ilvl w:val="0"/>
          <w:numId w:val="1001"/>
        </w:numPr>
        <w:pStyle w:val="Compact"/>
      </w:pPr>
      <w:r>
        <w:rPr>
          <w:bCs/>
          <w:b/>
        </w:rPr>
        <w:t xml:space="preserve">Clinical Laboratory Technicians:</w:t>
      </w:r>
      <w:r>
        <w:t xml:space="preserve"> </w:t>
      </w:r>
      <w:r>
        <w:t xml:space="preserve">Certified professionals (with NMPA-accredited qualifications) skilled in hematology, microbiology, and clinical chemistry for hospitals and diagnostic centers.</w:t>
      </w:r>
    </w:p>
    <w:p>
      <w:pPr>
        <w:numPr>
          <w:ilvl w:val="0"/>
          <w:numId w:val="1001"/>
        </w:numPr>
        <w:pStyle w:val="Compact"/>
      </w:pPr>
      <w:r>
        <w:rPr>
          <w:bCs/>
          <w:b/>
        </w:rPr>
        <w:t xml:space="preserve">Research &amp; Development Technicians:</w:t>
      </w:r>
      <w:r>
        <w:t xml:space="preserve"> </w:t>
      </w:r>
      <w:r>
        <w:t xml:space="preserve">Graduates with Master’s degrees in biotechnology or molecular biology from Beijing institutions (e.g., Tsinghua University, Peking University), equipped for work in pharmaceutical R&amp;D labs like those at Sinopharm Group and BeiGene.</w:t>
      </w:r>
    </w:p>
    <w:p>
      <w:pPr>
        <w:pStyle w:val="FirstParagraph"/>
      </w:pPr>
      <w:r>
        <w:t xml:space="preserve">Candidates prioritize competitive compensation (Beijing averages 25% above national salary benchmarks for this role), career advancement pathways within China’s innovation ecosystem, and alignment with Beijing's "Double First-Class" university initiatives that fund lab-tech training programs.</w:t>
      </w:r>
    </w:p>
    <w:bookmarkEnd w:id="22"/>
    <w:bookmarkStart w:id="26" w:name="X3b933335ffc83529650fe238c2f6a07b258ceda"/>
    <w:p>
      <w:pPr>
        <w:pStyle w:val="Heading2"/>
      </w:pPr>
      <w:r>
        <w:t xml:space="preserve">Core Marketing Strategy: Localized Talent Acquisition Framework</w:t>
      </w:r>
    </w:p>
    <w:p>
      <w:pPr>
        <w:pStyle w:val="FirstParagraph"/>
      </w:pPr>
      <w:r>
        <w:t xml:space="preserve">Our strategy merges digital precision with Beijing's relationship-driven business culture ("guanxi") to build trust and visibility:</w:t>
      </w:r>
    </w:p>
    <w:bookmarkStart w:id="23" w:name="X852f3069a0b4eb7d3196fa5374a1e6e950bac3a"/>
    <w:p>
      <w:pPr>
        <w:pStyle w:val="Heading3"/>
      </w:pPr>
      <w:r>
        <w:t xml:space="preserve">1. Employer Branding Through Beijing-Centric Platforms</w:t>
      </w:r>
    </w:p>
    <w:p>
      <w:pPr>
        <w:numPr>
          <w:ilvl w:val="0"/>
          <w:numId w:val="1002"/>
        </w:numPr>
        <w:pStyle w:val="Compact"/>
      </w:pPr>
      <w:r>
        <w:rPr>
          <w:bCs/>
          <w:b/>
        </w:rPr>
        <w:t xml:space="preserve">WeChat Official Accounts &amp; Mini-Programs:</w:t>
      </w:r>
      <w:r>
        <w:t xml:space="preserve"> </w:t>
      </w:r>
      <w:r>
        <w:t xml:space="preserve">Develop exclusive recruitment content (e.g., "Beijing Lab Tech Career Pathways") targeting professionals in Beijing via WeChat, China's dominant social platform. Collaborate with @BeijingHR and @BiotechChina for verified reach.</w:t>
      </w:r>
    </w:p>
    <w:p>
      <w:pPr>
        <w:numPr>
          <w:ilvl w:val="0"/>
          <w:numId w:val="1002"/>
        </w:numPr>
        <w:pStyle w:val="Compact"/>
      </w:pPr>
      <w:r>
        <w:rPr>
          <w:bCs/>
          <w:b/>
        </w:rPr>
        <w:t xml:space="preserve">University Partnerships:</w:t>
      </w:r>
      <w:r>
        <w:t xml:space="preserve"> </w:t>
      </w:r>
      <w:r>
        <w:t xml:space="preserve">Forge direct pipelines with Tsinghua’s School of Life Sciences and Capital Medical University’s Clinical Laboratory Science program through sponsored workshops on NMPA certification pathways—addressing Beijing's critical need for locally trained talent.</w:t>
      </w:r>
    </w:p>
    <w:bookmarkEnd w:id="23"/>
    <w:bookmarkStart w:id="24" w:name="Xd679879b9fbff1d4fe422889f3acc92fdeb551b"/>
    <w:p>
      <w:pPr>
        <w:pStyle w:val="Heading3"/>
      </w:pPr>
      <w:r>
        <w:t xml:space="preserve">2. Incentive Structure Aligned with Beijing Regulations</w:t>
      </w:r>
    </w:p>
    <w:p>
      <w:pPr>
        <w:numPr>
          <w:ilvl w:val="0"/>
          <w:numId w:val="1003"/>
        </w:numPr>
        <w:pStyle w:val="Compact"/>
      </w:pPr>
      <w:r>
        <w:rPr>
          <w:bCs/>
          <w:b/>
        </w:rPr>
        <w:t xml:space="preserve">Relocation Packages:</w:t>
      </w:r>
      <w:r>
        <w:t xml:space="preserve"> </w:t>
      </w:r>
      <w:r>
        <w:t xml:space="preserve">Offer subsidized housing in Beijing’s science parks (e.g., Zhongguancun Science Park), a priority for technicians relocating from provincial cities.</w:t>
      </w:r>
    </w:p>
    <w:p>
      <w:pPr>
        <w:numPr>
          <w:ilvl w:val="0"/>
          <w:numId w:val="1003"/>
        </w:numPr>
        <w:pStyle w:val="Compact"/>
      </w:pPr>
      <w:r>
        <w:rPr>
          <w:bCs/>
          <w:b/>
        </w:rPr>
        <w:t xml:space="preserve">Professional Development Grants:</w:t>
      </w:r>
      <w:r>
        <w:t xml:space="preserve"> </w:t>
      </w:r>
      <w:r>
        <w:t xml:space="preserve">Fund certification courses (e.g., Chinese Association of Medical Laboratory Scientists) and attendance at the annual Beijing International Biotech Conference, enhancing career mobility in China's capital.</w:t>
      </w:r>
    </w:p>
    <w:p>
      <w:pPr>
        <w:numPr>
          <w:ilvl w:val="0"/>
          <w:numId w:val="1003"/>
        </w:numPr>
        <w:pStyle w:val="Compact"/>
      </w:pPr>
      <w:r>
        <w:rPr>
          <w:bCs/>
          <w:b/>
        </w:rPr>
        <w:t xml:space="preserve">Compliance with Labor Laws:</w:t>
      </w:r>
      <w:r>
        <w:t xml:space="preserve"> </w:t>
      </w:r>
      <w:r>
        <w:t xml:space="preserve">Structure contracts to comply with Beijing’s 2023 revised labor regulations, including strict overtime limits—addressing a key retention pain point for lab techs.</w:t>
      </w:r>
    </w:p>
    <w:bookmarkEnd w:id="24"/>
    <w:bookmarkStart w:id="25" w:name="X677606f6d713956aecad8e6213d4b2b21989c22"/>
    <w:p>
      <w:pPr>
        <w:pStyle w:val="Heading3"/>
      </w:pPr>
      <w:r>
        <w:t xml:space="preserve">3. Community Engagement in Beijing’s Scientific Ecosystem</w:t>
      </w:r>
    </w:p>
    <w:p>
      <w:pPr>
        <w:numPr>
          <w:ilvl w:val="0"/>
          <w:numId w:val="1004"/>
        </w:numPr>
        <w:pStyle w:val="Compact"/>
      </w:pPr>
      <w:r>
        <w:rPr>
          <w:bCs/>
          <w:b/>
        </w:rPr>
        <w:t xml:space="preserve">Host "Beijing Lab Tech Networking Events":</w:t>
      </w:r>
      <w:r>
        <w:t xml:space="preserve"> </w:t>
      </w:r>
      <w:r>
        <w:t xml:space="preserve">Partner with the Beijing Biomedical Industry Association for quarterly events at venues like the China National GeneBank, enabling face-to-face recruitment while showcasing Beijing's cutting-edge facilities.</w:t>
      </w:r>
    </w:p>
    <w:p>
      <w:pPr>
        <w:numPr>
          <w:ilvl w:val="0"/>
          <w:numId w:val="1004"/>
        </w:numPr>
        <w:pStyle w:val="Compact"/>
      </w:pPr>
      <w:r>
        <w:rPr>
          <w:bCs/>
          <w:b/>
        </w:rPr>
        <w:t xml:space="preserve">Leverage Government Incentives:</w:t>
      </w:r>
      <w:r>
        <w:t xml:space="preserve"> </w:t>
      </w:r>
      <w:r>
        <w:t xml:space="preserve">Apply for Beijing Municipal talent subsidies (e.g., "Beijing Talent Project") covering 30% of recruitment costs—reducing overhead and signaling institutional alignment with city priorities.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Market Research &amp; Partnership Setup</w:t>
            </w:r>
          </w:p>
        </w:tc>
        <w:tc>
          <w:tcPr/>
          <w:p>
            <w:pPr>
              <w:pStyle w:val="Compact"/>
              <w:jc w:val="left"/>
            </w:pPr>
            <w:r>
              <w:t xml:space="preserve">Months 1-2</w:t>
            </w:r>
          </w:p>
        </w:tc>
      </w:tr>
      <w:tr>
        <w:tc>
          <w:tcPr/>
          <w:p>
            <w:pPr>
              <w:pStyle w:val="Compact"/>
              <w:jc w:val="left"/>
            </w:pPr>
            <w:r>
              <w:t xml:space="preserve">Campaign Launch (WeChat, University Outreach)</w:t>
            </w:r>
          </w:p>
        </w:tc>
        <w:tc>
          <w:tcPr/>
          <w:p>
            <w:pPr>
              <w:pStyle w:val="Compact"/>
              <w:jc w:val="left"/>
            </w:pPr>
            <w:r>
              <w:t xml:space="preserve">Month 3</w:t>
            </w:r>
          </w:p>
        </w:tc>
      </w:tr>
      <w:tr>
        <w:tc>
          <w:tcPr/>
          <w:p>
            <w:pPr>
              <w:pStyle w:val="Compact"/>
              <w:jc w:val="left"/>
            </w:pPr>
            <w:r>
              <w:t xml:space="preserve">Nationalization of Recruitment Materials (Mandarin Content)</w:t>
            </w:r>
          </w:p>
        </w:tc>
        <w:tc>
          <w:tcPr/>
          <w:p>
            <w:pPr>
              <w:pStyle w:val="Compact"/>
              <w:jc w:val="left"/>
            </w:pPr>
            <w:r>
              <w:t xml:space="preserve">Month 4</w:t>
            </w:r>
          </w:p>
        </w:tc>
      </w:tr>
      <w:tr>
        <w:tc>
          <w:tcPr/>
          <w:p>
            <w:pPr>
              <w:pStyle w:val="Compact"/>
              <w:jc w:val="left"/>
            </w:pPr>
            <w:r>
              <w:t xml:space="preserve">First Beijing Lab Tech Networking Event</w:t>
            </w:r>
          </w:p>
        </w:tc>
        <w:tc>
          <w:tcPr/>
          <w:p>
            <w:pPr>
              <w:pStyle w:val="Compact"/>
              <w:jc w:val="left"/>
            </w:pPr>
            <w:r>
              <w:t xml:space="preserve">Month 5</w:t>
            </w:r>
          </w:p>
        </w:tc>
      </w:tr>
    </w:tbl>
    <w:bookmarkEnd w:id="27"/>
    <w:bookmarkStart w:id="28" w:name="X230689781610075f3b30b4165f2ed511514dd5f"/>
    <w:p>
      <w:pPr>
        <w:pStyle w:val="Heading2"/>
      </w:pPr>
      <w:r>
        <w:t xml:space="preserve">Budget Allocation for Beijing-Specific Execution</w:t>
      </w:r>
    </w:p>
    <w:p>
      <w:pPr>
        <w:pStyle w:val="FirstParagraph"/>
      </w:pPr>
      <w:r>
        <w:t xml:space="preserve">Total Investment: ¥1.8 million (approx. $240,000 USD) over 6 months.</w:t>
      </w:r>
    </w:p>
    <w:p>
      <w:pPr>
        <w:numPr>
          <w:ilvl w:val="0"/>
          <w:numId w:val="1005"/>
        </w:numPr>
        <w:pStyle w:val="Compact"/>
      </w:pPr>
      <w:r>
        <w:t xml:space="preserve">75% to digital campaigns &amp; university partnerships (Beijing’s high-tech talent density justifies this spend)</w:t>
      </w:r>
    </w:p>
    <w:p>
      <w:pPr>
        <w:numPr>
          <w:ilvl w:val="0"/>
          <w:numId w:val="1005"/>
        </w:numPr>
        <w:pStyle w:val="Compact"/>
      </w:pPr>
      <w:r>
        <w:t xml:space="preserve">15% for event production and relocation subsidies</w:t>
      </w:r>
    </w:p>
    <w:p>
      <w:pPr>
        <w:numPr>
          <w:ilvl w:val="0"/>
          <w:numId w:val="1005"/>
        </w:numPr>
        <w:pStyle w:val="Compact"/>
      </w:pPr>
      <w:r>
        <w:t xml:space="preserve">10% contingency for regulatory compliance adjustments</w:t>
      </w:r>
    </w:p>
    <w:bookmarkEnd w:id="28"/>
    <w:bookmarkStart w:id="29" w:name="metrics-for-success-beijing-first-kpis"/>
    <w:p>
      <w:pPr>
        <w:pStyle w:val="Heading2"/>
      </w:pPr>
      <w:r>
        <w:t xml:space="preserve">Metrics for Success: Beijing-First KPIs</w:t>
      </w:r>
    </w:p>
    <w:p>
      <w:pPr>
        <w:pStyle w:val="FirstParagraph"/>
      </w:pPr>
      <w:r>
        <w:t xml:space="preserve">This Marketing Plan’s efficacy will be measured through:</w:t>
      </w:r>
    </w:p>
    <w:p>
      <w:pPr>
        <w:numPr>
          <w:ilvl w:val="0"/>
          <w:numId w:val="1006"/>
        </w:numPr>
        <w:pStyle w:val="Compact"/>
      </w:pPr>
      <w:r>
        <w:rPr>
          <w:bCs/>
          <w:b/>
        </w:rPr>
        <w:t xml:space="preserve">30% Reduction in Time-to-Hire:</w:t>
      </w:r>
      <w:r>
        <w:t xml:space="preserve"> </w:t>
      </w:r>
      <w:r>
        <w:t xml:space="preserve">Target: 45 days (vs. industry avg. of 72 days in Beijing)</w:t>
      </w:r>
    </w:p>
    <w:p>
      <w:pPr>
        <w:numPr>
          <w:ilvl w:val="0"/>
          <w:numId w:val="1006"/>
        </w:numPr>
        <w:pStyle w:val="Compact"/>
      </w:pPr>
      <w:r>
        <w:rPr>
          <w:bCs/>
          <w:b/>
        </w:rPr>
        <w:t xml:space="preserve">120+ Qualified Candidates Engaged</w:t>
      </w:r>
      <w:r>
        <w:t xml:space="preserve"> </w:t>
      </w:r>
      <w:r>
        <w:t xml:space="preserve">within first quarter, prioritizing those with Beijing-based certifications.</w:t>
      </w:r>
    </w:p>
    <w:p>
      <w:pPr>
        <w:numPr>
          <w:ilvl w:val="0"/>
          <w:numId w:val="1006"/>
        </w:numPr>
        <w:pStyle w:val="Compact"/>
      </w:pPr>
      <w:r>
        <w:rPr>
          <w:bCs/>
          <w:b/>
        </w:rPr>
        <w:t xml:space="preserve">90% Candidate Retention Rate</w:t>
      </w:r>
      <w:r>
        <w:t xml:space="preserve"> </w:t>
      </w:r>
      <w:r>
        <w:t xml:space="preserve">after 6 months, tracked via Beijing labor registry data.</w:t>
      </w:r>
    </w:p>
    <w:bookmarkEnd w:id="29"/>
    <w:bookmarkStart w:id="30" w:name="Xbe5edc6590518ea6f2c971e97819c6586825299"/>
    <w:p>
      <w:pPr>
        <w:pStyle w:val="Heading2"/>
      </w:pPr>
      <w:r>
        <w:t xml:space="preserve">Closing: Why This Plan Works for China Beijing</w:t>
      </w:r>
    </w:p>
    <w:p>
      <w:pPr>
        <w:pStyle w:val="FirstParagraph"/>
      </w:pPr>
      <w:r>
        <w:t xml:space="preserve">This Marketing Plan transcends generic recruitment tactics by embedding itself in Beijing’s unique scientific identity. It acknowledges that a Laboratory Technician in China is not merely an employee but a critical node in the city’s ambition to lead global biotechnology innovation. By prioritizing local partnerships, regulatory compliance, and Beijing-specific incentives—from Zhongguancun housing subsidies to NMPA certification support—we transform talent acquisition from a cost center into a strategic asset that directly fuels Beijing’s healthcare and R&amp;D ecosystems. In a market where 82% of technicians choose employers offering clear career progression within Beijing (Beijing Talent Survey, 2023), this plan delivers precisely what the city demands:</w:t>
      </w:r>
      <w:r>
        <w:t xml:space="preserve"> </w:t>
      </w:r>
      <w:r>
        <w:rPr>
          <w:iCs/>
          <w:i/>
        </w:rPr>
        <w:t xml:space="preserve">talent that elevates Beijing's scientific future</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Beijing, China</dc:title>
  <dc:creator/>
  <dc:language>en</dc:language>
  <cp:keywords/>
  <dcterms:created xsi:type="dcterms:W3CDTF">2026-07-23T03:57:30Z</dcterms:created>
  <dcterms:modified xsi:type="dcterms:W3CDTF">2026-07-23T03:57:30Z</dcterms:modified>
</cp:coreProperties>
</file>

<file path=docProps/custom.xml><?xml version="1.0" encoding="utf-8"?>
<Properties xmlns="http://schemas.openxmlformats.org/officeDocument/2006/custom-properties" xmlns:vt="http://schemas.openxmlformats.org/officeDocument/2006/docPropsVTypes"/>
</file>