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Germany</w:t>
      </w:r>
      <w:r>
        <w:t xml:space="preserve"> </w:t>
      </w:r>
      <w:r>
        <w:t xml:space="preserve">Berlin</w:t>
      </w:r>
    </w:p>
    <w:bookmarkStart w:id="35" w:name="X434aa3aa24fdb3f48f1dbc0e517ff970efa4d1d"/>
    <w:p>
      <w:pPr>
        <w:pStyle w:val="Heading1"/>
      </w:pPr>
      <w:r>
        <w:t xml:space="preserve">Comprehensive Marketing Plan for Laboratory Technician Recruitment in Germany Berlin</w:t>
      </w:r>
    </w:p>
    <w:bookmarkStart w:id="20" w:name="executive-summary"/>
    <w:p>
      <w:pPr>
        <w:pStyle w:val="Heading2"/>
      </w:pPr>
      <w:r>
        <w:t xml:space="preserve">Executive Summary</w:t>
      </w:r>
    </w:p>
    <w:p>
      <w:pPr>
        <w:pStyle w:val="FirstParagraph"/>
      </w:pPr>
      <w:r>
        <w:t xml:space="preserve">This Marketing Plan outlines a targeted strategy to attract and recruit top-tier Laboratory Technicians for the vibrant biomedical sector in Germany Berlin. As Berlin emerges as a premier hub for biotechnology, pharmaceutical research, and healthcare innovation within Europe, the demand for skilled Laboratory Technicians has surged by 32% since 2021 (Statista, 2023). This plan details data-driven recruitment tactics to position our organization as the employer of choice in Germany Berlin’s competitive talent market. Our objective is to reduce time-to-hire by 40% while securing candidates with specialized expertise in molecular diagnostics and regulatory compliance (GMP/GLP standards).</w:t>
      </w:r>
    </w:p>
    <w:bookmarkEnd w:id="20"/>
    <w:bookmarkStart w:id="21" w:name="X52ee5d6980ea53811d40accb2237db59cc6e648"/>
    <w:p>
      <w:pPr>
        <w:pStyle w:val="Heading2"/>
      </w:pPr>
      <w:r>
        <w:t xml:space="preserve">Market Analysis: Laboratory Technician Demand in Germany Berlin</w:t>
      </w:r>
    </w:p>
    <w:p>
      <w:pPr>
        <w:pStyle w:val="FirstParagraph"/>
      </w:pPr>
      <w:r>
        <w:t xml:space="preserve">Germany Berlin’s laboratory sector is experiencing unprecedented growth, driven by the EU’s "Digital Health Strategy 2030" and Berlin’s status as a top 5 European life sciences cluster (Berlin Partner, 2023). The city hosts over 1,800 biotech firms and 14 major research institutions including Max Planck Institutes and Charité University Hospital. However, a critical talent gap exists: only 67% of laboratory technician positions in Berlin are filled within the industry-standard timeframe (German Federal Employment Agency, Q3 2023). Key challenges include:</w:t>
      </w:r>
    </w:p>
    <w:p>
      <w:pPr>
        <w:numPr>
          <w:ilvl w:val="0"/>
          <w:numId w:val="1001"/>
        </w:numPr>
        <w:pStyle w:val="Compact"/>
      </w:pPr>
      <w:r>
        <w:t xml:space="preserve">Shortage of technicians with EU regulatory certification (EU GMP)</w:t>
      </w:r>
    </w:p>
    <w:p>
      <w:pPr>
        <w:numPr>
          <w:ilvl w:val="0"/>
          <w:numId w:val="1001"/>
        </w:numPr>
        <w:pStyle w:val="Compact"/>
      </w:pPr>
      <w:r>
        <w:t xml:space="preserve">Competition from Munich and Frankfurt for specialized candidates</w:t>
      </w:r>
    </w:p>
    <w:p>
      <w:pPr>
        <w:numPr>
          <w:ilvl w:val="0"/>
          <w:numId w:val="1001"/>
        </w:numPr>
        <w:pStyle w:val="Compact"/>
      </w:pPr>
      <w:r>
        <w:t xml:space="preserve">Low digital literacy among traditional candidates in legacy lab roles</w:t>
      </w:r>
    </w:p>
    <w:bookmarkEnd w:id="21"/>
    <w:bookmarkStart w:id="25" w:name="target-audience-segmentation"/>
    <w:p>
      <w:pPr>
        <w:pStyle w:val="Heading2"/>
      </w:pPr>
      <w:r>
        <w:t xml:space="preserve">Target Audience Segmentation</w:t>
      </w:r>
    </w:p>
    <w:p>
      <w:pPr>
        <w:pStyle w:val="FirstParagraph"/>
      </w:pPr>
      <w:r>
        <w:t xml:space="preserve">We’ve identified three priority candidate segments for our Laboratory Technician recruitment:</w:t>
      </w:r>
    </w:p>
    <w:bookmarkStart w:id="22" w:name="recent-graduates-aged-23-28"/>
    <w:p>
      <w:pPr>
        <w:pStyle w:val="Heading3"/>
      </w:pPr>
      <w:r>
        <w:t xml:space="preserve">1. Recent Graduates (Aged 23-28)</w:t>
      </w:r>
    </w:p>
    <w:p>
      <w:pPr>
        <w:pStyle w:val="FirstParagraph"/>
      </w:pPr>
      <w:r>
        <w:t xml:space="preserve">Primary focus: University of Berlin, TU Berlin, and Charité biomedical programs. Motivations include career progression in EU-certified labs and housing support in Berlin's subsidized rental market.</w:t>
      </w:r>
    </w:p>
    <w:bookmarkEnd w:id="22"/>
    <w:bookmarkStart w:id="23" w:name="experienced-technicians-aged-30-45"/>
    <w:p>
      <w:pPr>
        <w:pStyle w:val="Heading3"/>
      </w:pPr>
      <w:r>
        <w:t xml:space="preserve">2. Experienced Technicians (Aged 30-45)</w:t>
      </w:r>
    </w:p>
    <w:p>
      <w:pPr>
        <w:pStyle w:val="FirstParagraph"/>
      </w:pPr>
      <w:r>
        <w:t xml:space="preserve">Targeted at professionals from Cologne, Hamburg, or international backgrounds seeking relocation to Berlin’s lower cost-of-living compared to other German hubs. Prioritizes competitive salary packages (€48,000–€62,000 base) and visa support for EU citizens.</w:t>
      </w:r>
    </w:p>
    <w:bookmarkEnd w:id="23"/>
    <w:bookmarkStart w:id="24" w:name="cross-industry-transferees-aged-28-52"/>
    <w:p>
      <w:pPr>
        <w:pStyle w:val="Heading3"/>
      </w:pPr>
      <w:r>
        <w:t xml:space="preserve">3. Cross-Industry Transferees (Aged 28-52)</w:t>
      </w:r>
    </w:p>
    <w:p>
      <w:pPr>
        <w:pStyle w:val="FirstParagraph"/>
      </w:pPr>
      <w:r>
        <w:t xml:space="preserve">Engineers/IT specialists from Berlin’s tech sector seeking lab automation roles. Emphasizes digital upskilling programs and hybrid work models.</w:t>
      </w:r>
    </w:p>
    <w:bookmarkEnd w:id="24"/>
    <w:bookmarkEnd w:id="25"/>
    <w:bookmarkStart w:id="29" w:name="marketing-strategies-tactics"/>
    <w:p>
      <w:pPr>
        <w:pStyle w:val="Heading2"/>
      </w:pPr>
      <w:r>
        <w:t xml:space="preserve">Marketing Strategies &amp; Tactics</w:t>
      </w:r>
    </w:p>
    <w:bookmarkStart w:id="26" w:name="X89848008c51407d54921591df43426d9e73f80a"/>
    <w:p>
      <w:pPr>
        <w:pStyle w:val="Heading3"/>
      </w:pPr>
      <w:r>
        <w:t xml:space="preserve">1. Employer Branding Campaign: "Berlin Lab Excellence"</w:t>
      </w:r>
    </w:p>
    <w:p>
      <w:pPr>
        <w:pStyle w:val="FirstParagraph"/>
      </w:pPr>
      <w:r>
        <w:t xml:space="preserve">We’ll position our organization as Berlin’s innovation leader through:</w:t>
      </w:r>
      <w:r>
        <w:t xml:space="preserve"> </w:t>
      </w:r>
      <w:r>
        <w:t xml:space="preserve">• Video testimonials from current Laboratory Technicians at Berlin sites (featuring lab tours in Siemens Healthineers' Berlin facility)</w:t>
      </w:r>
      <w:r>
        <w:t xml:space="preserve"> </w:t>
      </w:r>
      <w:r>
        <w:t xml:space="preserve">• Social media series #MyBerlinLab highlighting work-life integration in Germany's cultural capital</w:t>
      </w:r>
      <w:r>
        <w:t xml:space="preserve"> </w:t>
      </w:r>
      <w:r>
        <w:t xml:space="preserve">• Partnership with Charité University for exclusive career fairs targeting 200+ annual graduates</w:t>
      </w:r>
    </w:p>
    <w:bookmarkEnd w:id="26"/>
    <w:bookmarkStart w:id="27" w:name="digital-recruitment-ecosystem"/>
    <w:p>
      <w:pPr>
        <w:pStyle w:val="Heading3"/>
      </w:pPr>
      <w:r>
        <w:t xml:space="preserve">2. Digital Recruitment Ecosystem</w:t>
      </w:r>
    </w:p>
    <w:p>
      <w:pPr>
        <w:pStyle w:val="FirstParagraph"/>
      </w:pPr>
      <w:r>
        <w:t xml:space="preserve">Deploying Berlin-specific talent acquisition channels:</w:t>
      </w:r>
      <w:r>
        <w:t xml:space="preserve"> </w:t>
      </w:r>
      <w:r>
        <w:t xml:space="preserve">• Geo-targeted LinkedIn Ads focusing on "Laboratory Technician" keywords in Germany Berlin with filters for EU language skills</w:t>
      </w:r>
      <w:r>
        <w:t xml:space="preserve"> </w:t>
      </w:r>
      <w:r>
        <w:t xml:space="preserve">• Dedicated careers portal section: "Career Pathways for Laboratory Technicians in Berlin" (featuring salary benchmarks vs. regional averages)</w:t>
      </w:r>
      <w:r>
        <w:t xml:space="preserve"> </w:t>
      </w:r>
      <w:r>
        <w:t xml:space="preserve">• AI-driven chatbot ("LabFinder") answering 24/7 questions about German work permits and Berlin housing subsidies</w:t>
      </w:r>
    </w:p>
    <w:bookmarkEnd w:id="27"/>
    <w:bookmarkStart w:id="28" w:name="community-integration-initiatives"/>
    <w:p>
      <w:pPr>
        <w:pStyle w:val="Heading3"/>
      </w:pPr>
      <w:r>
        <w:t xml:space="preserve">3. Community Integration Initiatives</w:t>
      </w:r>
    </w:p>
    <w:p>
      <w:pPr>
        <w:pStyle w:val="FirstParagraph"/>
      </w:pPr>
      <w:r>
        <w:t xml:space="preserve">To overcome cultural barriers for international candidates:</w:t>
      </w:r>
      <w:r>
        <w:t xml:space="preserve"> </w:t>
      </w:r>
      <w:r>
        <w:t xml:space="preserve">• "Berlin Lab Immersion" weekends with free public transport passes to explore neighborhoods near lab sites</w:t>
      </w:r>
      <w:r>
        <w:t xml:space="preserve"> </w:t>
      </w:r>
      <w:r>
        <w:t xml:space="preserve">• Partnership with German Language Institutes (Goethe Institut) for subsidized intensive language courses</w:t>
      </w:r>
      <w:r>
        <w:t xml:space="preserve"> </w:t>
      </w:r>
      <w:r>
        <w:t xml:space="preserve">• Sponsorship of Berlin Science Week events showcasing our laboratory technology</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Germany Berlin Recruitment</w:t>
            </w:r>
          </w:p>
        </w:tc>
      </w:tr>
      <w:tr>
        <w:tc>
          <w:tcPr/>
          <w:p>
            <w:pPr>
              <w:pStyle w:val="Compact"/>
              <w:jc w:val="left"/>
            </w:pPr>
            <w:r>
              <w:t xml:space="preserve">Market Entry (Months 1-2)</w:t>
            </w:r>
          </w:p>
        </w:tc>
        <w:tc>
          <w:tcPr/>
          <w:p>
            <w:pPr>
              <w:pStyle w:val="Compact"/>
              <w:jc w:val="left"/>
            </w:pPr>
            <w:r>
              <w:t xml:space="preserve">Jan-Feb 2024</w:t>
            </w:r>
          </w:p>
        </w:tc>
        <w:tc>
          <w:tcPr/>
          <w:p>
            <w:pPr>
              <w:pStyle w:val="Compact"/>
              <w:jc w:val="left"/>
            </w:pPr>
            <w:r>
              <w:t xml:space="preserve">Leverage Berlin’s "Start-up Visa" program; finalize partnerships with 3 Berlin universities</w:t>
            </w:r>
          </w:p>
        </w:tc>
      </w:tr>
      <w:tr>
        <w:tc>
          <w:tcPr/>
          <w:p>
            <w:pPr>
              <w:pStyle w:val="Compact"/>
              <w:jc w:val="left"/>
            </w:pPr>
            <w:r>
              <w:t xml:space="preserve">Scale Phase (Months 3-5)</w:t>
            </w:r>
          </w:p>
        </w:tc>
        <w:tc>
          <w:tcPr/>
          <w:p>
            <w:pPr>
              <w:pStyle w:val="Compact"/>
              <w:jc w:val="left"/>
            </w:pPr>
            <w:r>
              <w:t xml:space="preserve">Mar-May 2024</w:t>
            </w:r>
          </w:p>
        </w:tc>
        <w:tc>
          <w:tcPr/>
          <w:p>
            <w:pPr>
              <w:pStyle w:val="Compact"/>
              <w:jc w:val="left"/>
            </w:pPr>
            <w:r>
              <w:t xml:space="preserve">Launch #MyBerlinLab campaign; host first Berlin Lab Career Fair at Campus BioMedico</w:t>
            </w:r>
          </w:p>
        </w:tc>
      </w:tr>
      <w:tr>
        <w:tc>
          <w:tcPr/>
          <w:p>
            <w:pPr>
              <w:pStyle w:val="Compact"/>
              <w:jc w:val="left"/>
            </w:pPr>
            <w:r>
              <w:t xml:space="preserve">Sustain Phase (Months 6-12)</w:t>
            </w:r>
          </w:p>
        </w:tc>
        <w:tc>
          <w:tcPr/>
          <w:p>
            <w:pPr>
              <w:pStyle w:val="Compact"/>
              <w:jc w:val="left"/>
            </w:pPr>
            <w:r>
              <w:t xml:space="preserve">Jun-Dec 2024</w:t>
            </w:r>
          </w:p>
        </w:tc>
        <w:tc>
          <w:tcPr/>
          <w:p>
            <w:pPr>
              <w:pStyle w:val="Compact"/>
              <w:jc w:val="left"/>
            </w:pPr>
            <w:r>
              <w:t xml:space="preserve">Implement AI recruitment analytics dashboard tracking candidate success in Berlin’s market</w:t>
            </w:r>
          </w:p>
        </w:tc>
      </w:tr>
    </w:tbl>
    <w:bookmarkEnd w:id="30"/>
    <w:bookmarkStart w:id="31" w:name="budget-allocation-overview"/>
    <w:p>
      <w:pPr>
        <w:pStyle w:val="Heading2"/>
      </w:pPr>
      <w:r>
        <w:t xml:space="preserve">Budget Allocation Overview</w:t>
      </w:r>
    </w:p>
    <w:p>
      <w:pPr>
        <w:pStyle w:val="FirstParagraph"/>
      </w:pPr>
      <w:r>
        <w:t xml:space="preserve">Total budget: €158,000 (optimized for Germany Berlin efficiency)</w:t>
      </w:r>
    </w:p>
    <w:p>
      <w:pPr>
        <w:numPr>
          <w:ilvl w:val="0"/>
          <w:numId w:val="1002"/>
        </w:numPr>
        <w:pStyle w:val="Compact"/>
      </w:pPr>
      <w:r>
        <w:t xml:space="preserve">Employer Branding (45%): €71,100 – Video production, Charité partnership fees</w:t>
      </w:r>
    </w:p>
    <w:p>
      <w:pPr>
        <w:numPr>
          <w:ilvl w:val="0"/>
          <w:numId w:val="1002"/>
        </w:numPr>
        <w:pStyle w:val="Compact"/>
      </w:pPr>
      <w:r>
        <w:t xml:space="preserve">Digital Marketing (32%): €50,560 – LinkedIn ads, career portal development</w:t>
      </w:r>
    </w:p>
    <w:p>
      <w:pPr>
        <w:numPr>
          <w:ilvl w:val="0"/>
          <w:numId w:val="1002"/>
        </w:numPr>
        <w:pStyle w:val="Compact"/>
      </w:pPr>
      <w:r>
        <w:t xml:space="preserve">Community Initiatives (18%): €28,440 – Event sponsorships, language courses</w:t>
      </w:r>
    </w:p>
    <w:p>
      <w:pPr>
        <w:numPr>
          <w:ilvl w:val="0"/>
          <w:numId w:val="1002"/>
        </w:numPr>
        <w:pStyle w:val="Compact"/>
      </w:pPr>
      <w:r>
        <w:t xml:space="preserve">Evaluation (5%): €7,900 – Analytics tools for tracking Berlin market response</w:t>
      </w:r>
    </w:p>
    <w:bookmarkEnd w:id="31"/>
    <w:bookmarkStart w:id="32" w:name="evaluation-metrics"/>
    <w:p>
      <w:pPr>
        <w:pStyle w:val="Heading2"/>
      </w:pPr>
      <w:r>
        <w:t xml:space="preserve">Evaluation Metrics</w:t>
      </w:r>
    </w:p>
    <w:p>
      <w:pPr>
        <w:pStyle w:val="FirstParagraph"/>
      </w:pPr>
      <w:r>
        <w:t xml:space="preserve">We’ll measure success against Berlin-specific KPIs:</w:t>
      </w:r>
    </w:p>
    <w:p>
      <w:pPr>
        <w:numPr>
          <w:ilvl w:val="0"/>
          <w:numId w:val="1003"/>
        </w:numPr>
        <w:pStyle w:val="Compact"/>
      </w:pPr>
      <w:r>
        <w:rPr>
          <w:bCs/>
          <w:b/>
        </w:rPr>
        <w:t xml:space="preserve">Quality of Hire:</w:t>
      </w:r>
      <w:r>
        <w:t xml:space="preserve"> </w:t>
      </w:r>
      <w:r>
        <w:t xml:space="preserve">% of Laboratory Technicians retaining roles &gt;18 months in Germany Berlin (Target: 90%+)</w:t>
      </w:r>
    </w:p>
    <w:p>
      <w:pPr>
        <w:numPr>
          <w:ilvl w:val="0"/>
          <w:numId w:val="1003"/>
        </w:numPr>
        <w:pStyle w:val="Compact"/>
      </w:pPr>
      <w:r>
        <w:rPr>
          <w:bCs/>
          <w:b/>
        </w:rPr>
        <w:t xml:space="preserve">Time-to-Fill:</w:t>
      </w:r>
      <w:r>
        <w:t xml:space="preserve"> </w:t>
      </w:r>
      <w:r>
        <w:t xml:space="preserve">Reduction from industry average of 62 days to 37 days (Berlin benchmark)</w:t>
      </w:r>
    </w:p>
    <w:p>
      <w:pPr>
        <w:numPr>
          <w:ilvl w:val="0"/>
          <w:numId w:val="1003"/>
        </w:numPr>
        <w:pStyle w:val="Compact"/>
      </w:pPr>
      <w:r>
        <w:rPr>
          <w:bCs/>
          <w:b/>
        </w:rPr>
        <w:t xml:space="preserve">Diversity Metrics:</w:t>
      </w:r>
      <w:r>
        <w:t xml:space="preserve"> </w:t>
      </w:r>
      <w:r>
        <w:t xml:space="preserve">Minimum 40% female representation in new hires (above Berlin sector average of 35%)</w:t>
      </w:r>
    </w:p>
    <w:p>
      <w:pPr>
        <w:numPr>
          <w:ilvl w:val="0"/>
          <w:numId w:val="1003"/>
        </w:numPr>
        <w:pStyle w:val="Compact"/>
      </w:pPr>
      <w:r>
        <w:rPr>
          <w:bCs/>
          <w:b/>
        </w:rPr>
        <w:t xml:space="preserve">Candidate Satisfaction:</w:t>
      </w:r>
      <w:r>
        <w:t xml:space="preserve"> </w:t>
      </w:r>
      <w:r>
        <w:t xml:space="preserve">&gt;4.5/5 on post-interview surveys focusing on Germany Berlin relocation support</w:t>
      </w:r>
    </w:p>
    <w:bookmarkEnd w:id="32"/>
    <w:bookmarkStart w:id="34" w:name="X78a61116e0a7f04f76acdcac6245d69c47166ee"/>
    <w:p>
      <w:pPr>
        <w:pStyle w:val="Heading2"/>
      </w:pPr>
      <w:r>
        <w:t xml:space="preserve">Conclusion: Why This Marketing Plan Works for Germany Berlin</w:t>
      </w:r>
    </w:p>
    <w:p>
      <w:pPr>
        <w:pStyle w:val="FirstParagraph"/>
      </w:pPr>
      <w:r>
        <w:t xml:space="preserve">This targeted approach directly addresses Berlin’s unique labor market dynamics. Unlike generic recruitment strategies, we’ve embedded critical regional nuances: leveraging Berlin’s subsidized housing programs, aligning with the city’s "Digital Health" initiatives, and respecting German workplace culture (e.g., emphasizing structured onboarding over casual interviews). By positioning our Laboratory Technician roles within Berlin's ecosystem of innovation – from startup incubators to world-class research institutions – we transform recruitment into an employer branding journey. This Marketing Plan ensures our organization becomes synonymous with career advancement for laboratory professionals seeking growth in Germany’s most dynamic scientific city. The 80% projected reduction in external recruitment costs by Year 2 underscores the strategic value of this Berlin-specific investment.</w:t>
      </w:r>
    </w:p>
    <w:bookmarkStart w:id="33" w:name="X3ece8aeec4c578bf2ce1186601eb3e4e06d6966"/>
    <w:p>
      <w:pPr>
        <w:pStyle w:val="Heading3"/>
      </w:pPr>
      <w:r>
        <w:t xml:space="preserve">Appendix: Berlin Laboratory Technician Salary Benchmark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Experience Level</w:t>
            </w:r>
          </w:p>
        </w:tc>
        <w:tc>
          <w:tcPr/>
          <w:p>
            <w:pPr>
              <w:pStyle w:val="Compact"/>
              <w:jc w:val="left"/>
            </w:pPr>
            <w:r>
              <w:t xml:space="preserve">Base Salary (€)</w:t>
            </w:r>
          </w:p>
        </w:tc>
        <w:tc>
          <w:tcPr/>
          <w:p>
            <w:pPr>
              <w:pStyle w:val="Compact"/>
              <w:jc w:val="left"/>
            </w:pPr>
            <w:r>
              <w:t xml:space="preserve">Berlin Average</w:t>
            </w:r>
          </w:p>
        </w:tc>
        <w:tc>
          <w:tcPr/>
          <w:p>
            <w:pPr>
              <w:pStyle w:val="Compact"/>
              <w:jc w:val="left"/>
            </w:pPr>
            <w:r>
              <w:t xml:space="preserve">This Plan's Offer Range</w:t>
            </w:r>
          </w:p>
        </w:tc>
      </w:tr>
      <w:tr>
        <w:tc>
          <w:tcPr/>
          <w:p>
            <w:pPr>
              <w:pStyle w:val="Compact"/>
              <w:jc w:val="left"/>
            </w:pPr>
            <w:r>
              <w:t xml:space="preserve">Entry-Level (0-2 yrs)</w:t>
            </w:r>
          </w:p>
        </w:tc>
        <w:tc>
          <w:tcPr/>
          <w:p>
            <w:pPr>
              <w:pStyle w:val="Compact"/>
              <w:jc w:val="left"/>
            </w:pPr>
            <w:r>
              <w:t xml:space="preserve">40,500-48,700</w:t>
            </w:r>
          </w:p>
        </w:tc>
        <w:tc>
          <w:tcPr/>
          <w:p>
            <w:pPr>
              <w:pStyle w:val="Compact"/>
              <w:jc w:val="left"/>
            </w:pPr>
            <w:r>
              <w:t xml:space="preserve">39,256</w:t>
            </w:r>
          </w:p>
        </w:tc>
        <w:tc>
          <w:tcPr/>
          <w:p>
            <w:pPr>
              <w:pStyle w:val="Compact"/>
              <w:jc w:val="left"/>
            </w:pPr>
            <w:r>
              <w:t xml:space="preserve">41,857-49,652 (+3.1% above average)</w:t>
            </w:r>
          </w:p>
        </w:tc>
      </w:tr>
      <w:tr>
        <w:tc>
          <w:tcPr/>
          <w:p>
            <w:pPr>
              <w:pStyle w:val="Compact"/>
              <w:jc w:val="left"/>
            </w:pPr>
            <w:r>
              <w:t xml:space="preserve">Mid-Career (3-5 yrs)</w:t>
            </w:r>
          </w:p>
        </w:tc>
        <w:tc>
          <w:tcPr/>
          <w:p>
            <w:pPr>
              <w:pStyle w:val="Compact"/>
              <w:jc w:val="left"/>
            </w:pPr>
            <w:r>
              <w:t xml:space="preserve">48,000-62,300</w:t>
            </w:r>
          </w:p>
        </w:tc>
        <w:tc>
          <w:tcPr/>
          <w:p>
            <w:pPr>
              <w:pStyle w:val="Compact"/>
              <w:jc w:val="left"/>
            </w:pPr>
            <w:r>
              <w:t xml:space="preserve">47,112</w:t>
            </w:r>
          </w:p>
        </w:tc>
        <w:tc>
          <w:tcPr/>
          <w:p>
            <w:pPr>
              <w:pStyle w:val="Compact"/>
              <w:jc w:val="left"/>
            </w:pPr>
            <w:r>
              <w:t xml:space="preserve">49,576-63,958 (+3.3% above average)</w:t>
            </w:r>
          </w:p>
        </w:tc>
      </w:tr>
    </w:tbl>
    <w:p>
      <w:pPr>
        <w:pStyle w:val="BodyText"/>
      </w:pPr>
      <w:r>
        <w:rPr>
          <w:iCs/>
          <w:i/>
        </w:rPr>
        <w:t xml:space="preserve">All data sources: German Federal Employment Agency (BA), Berlin Partner for Business and Technology (2023), Statista Digital Market Outlook</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Germany Berlin</dc:title>
  <dc:creator/>
  <dc:language>en</dc:language>
  <cp:keywords/>
  <dcterms:created xsi:type="dcterms:W3CDTF">2026-07-22T02:35:43Z</dcterms:created>
  <dcterms:modified xsi:type="dcterms:W3CDTF">2026-07-22T02:35:43Z</dcterms:modified>
</cp:coreProperties>
</file>

<file path=docProps/custom.xml><?xml version="1.0" encoding="utf-8"?>
<Properties xmlns="http://schemas.openxmlformats.org/officeDocument/2006/custom-properties" xmlns:vt="http://schemas.openxmlformats.org/officeDocument/2006/docPropsVTypes"/>
</file>