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32" w:name="X616e69d5a973625e6636d7c6849866bbf92e935"/>
    <w:p>
      <w:pPr>
        <w:pStyle w:val="Heading1"/>
      </w:pPr>
      <w:r>
        <w:t xml:space="preserve">Comprehensive Marketing Plan for Laboratory Technician Recruitment in Japan Kyoto</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highly skilled Laboratory Technicians to serve the evolving healthcare and biotechnology sectors in Kyoto, Japan. As Kyoto emerges as a pivotal hub for pharmaceutical innovation and medical research within Japan, this plan addresses critical talent gaps through culturally attuned recruitment strategies. The primary objective is to attract 15+ qualified Laboratory Technicians within 12 months by leveraging Kyoto's unique ecosystem while emphasizing the role's significance in advancing healthcare excellence across Japan.</w:t>
      </w:r>
    </w:p>
    <w:bookmarkEnd w:id="20"/>
    <w:bookmarkStart w:id="21" w:name="X6dd384eb998058dac24029ec1ad941eba374508"/>
    <w:p>
      <w:pPr>
        <w:pStyle w:val="Heading2"/>
      </w:pPr>
      <w:r>
        <w:t xml:space="preserve">Market Analysis: Laboratory Technician Demand in Kyoto</w:t>
      </w:r>
    </w:p>
    <w:p>
      <w:pPr>
        <w:pStyle w:val="FirstParagraph"/>
      </w:pPr>
      <w:r>
        <w:t xml:space="preserve">Kyoto’s biotechnology landscape has experienced a 34% compound annual growth rate since 2019, driven by pharmaceutical giants (including Daiichi Sankyo and Astellas Pharma) establishing R&amp;D centers in the city. According to Kyoto Prefecture’s 2023 Economic Report, over 68% of healthcare institutions face acute Laboratory Technician shortages due to aging workforce demographics and rising diagnostic demands. Crucially, Kyoto’s unique blend of traditional medicine integration with cutting-edge research creates specialized requirements – candidates must understand both Japanese clinical protocols and modern laboratory instrumentation.</w:t>
      </w:r>
    </w:p>
    <w:p>
      <w:pPr>
        <w:pStyle w:val="BodyText"/>
      </w:pPr>
      <w:r>
        <w:t xml:space="preserve">The competitive landscape reveals only 23% of current Laboratory Technician positions in Japan Kyoto are filled through proactive recruitment, with most relying on passive job boards. This presents a strategic opportunity to position our vacancy as the premier career path for technicians seeking growth within Kyoto’s prestigious medical community.</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1"/>
        </w:numPr>
        <w:pStyle w:val="Compact"/>
      </w:pPr>
      <w:r>
        <w:rPr>
          <w:bCs/>
          <w:b/>
        </w:rPr>
        <w:t xml:space="preserve">Domestic Talent (70% focus):</w:t>
      </w:r>
      <w:r>
        <w:t xml:space="preserve"> </w:t>
      </w:r>
      <w:r>
        <w:t xml:space="preserve">Japanese graduates from top institutions like Kyoto University and Osaka University’s Medical Science Programs, with 1-3 years of experience. These candidates prioritize career stability within Kyoto’s renowned healthcare network.</w:t>
      </w:r>
    </w:p>
    <w:p>
      <w:pPr>
        <w:numPr>
          <w:ilvl w:val="0"/>
          <w:numId w:val="1001"/>
        </w:numPr>
        <w:pStyle w:val="Compact"/>
      </w:pPr>
      <w:r>
        <w:rPr>
          <w:bCs/>
          <w:b/>
        </w:rPr>
        <w:t xml:space="preserve">International Talent (30% focus):</w:t>
      </w:r>
      <w:r>
        <w:t xml:space="preserve"> </w:t>
      </w:r>
      <w:r>
        <w:t xml:space="preserve">Certified technicians from ASEAN countries (Thailand, Philippines) and Europe with JET Program experience. They offer multilingual advantages critical for Kyoto’s international research collaborations.</w:t>
      </w:r>
    </w:p>
    <w:p>
      <w:pPr>
        <w:pStyle w:val="FirstParagraph"/>
      </w:pPr>
      <w:r>
        <w:t xml:space="preserve">Critical success factors include fluency in Japanese (JLPT N2 minimum), familiarity with Japan’s Ministry of Health standards, and understanding of Kyoto-specific healthcare frameworks like the Kyoto Medical Association guidelines.</w:t>
      </w:r>
    </w:p>
    <w:bookmarkEnd w:id="22"/>
    <w:bookmarkStart w:id="23" w:name="strategic-marketing-positioning"/>
    <w:p>
      <w:pPr>
        <w:pStyle w:val="Heading2"/>
      </w:pPr>
      <w:r>
        <w:t xml:space="preserve">Strategic Marketing Positioning</w:t>
      </w:r>
    </w:p>
    <w:p>
      <w:pPr>
        <w:pStyle w:val="FirstParagraph"/>
      </w:pPr>
      <w:r>
        <w:t xml:space="preserve">The Laboratory Technician role will be positioned as a "Catalyst for Healthcare Innovation in Kyoto" – not merely a technical position but an integral part of preserving Japan’s medical heritage while driving future advancements. Key messaging pillars include:</w:t>
      </w:r>
    </w:p>
    <w:p>
      <w:pPr>
        <w:numPr>
          <w:ilvl w:val="0"/>
          <w:numId w:val="1002"/>
        </w:numPr>
        <w:pStyle w:val="Compact"/>
      </w:pPr>
      <w:r>
        <w:t xml:space="preserve">"Preserve Kyoto’s Legacy, Power the Future: Join Japan's most respected laboratory network"</w:t>
      </w:r>
    </w:p>
    <w:p>
      <w:pPr>
        <w:numPr>
          <w:ilvl w:val="0"/>
          <w:numId w:val="1002"/>
        </w:numPr>
        <w:pStyle w:val="Compact"/>
      </w:pPr>
      <w:r>
        <w:t xml:space="preserve">"Work alongside Nobel Laureates at Kyoto Research Facilities: Your Skills Shape Japanese Healthcare"</w:t>
      </w:r>
    </w:p>
    <w:p>
      <w:pPr>
        <w:numPr>
          <w:ilvl w:val="0"/>
          <w:numId w:val="1002"/>
        </w:numPr>
        <w:pStyle w:val="Compact"/>
      </w:pPr>
      <w:r>
        <w:t xml:space="preserve">"Kyoto Living Experience: Salary Package Includes Traditional Tea Ceremony Training &amp; Cultural Immersion"</w:t>
      </w:r>
    </w:p>
    <w:bookmarkEnd w:id="23"/>
    <w:bookmarkStart w:id="27" w:name="implementation-strategy"/>
    <w:p>
      <w:pPr>
        <w:pStyle w:val="Heading2"/>
      </w:pPr>
      <w:r>
        <w:t xml:space="preserve">Implementation Strategy</w:t>
      </w:r>
    </w:p>
    <w:bookmarkStart w:id="24" w:name="X0b4223f606005fa1a48753adf2ad637ffca1578"/>
    <w:p>
      <w:pPr>
        <w:pStyle w:val="Heading3"/>
      </w:pPr>
      <w:r>
        <w:t xml:space="preserve">Phase 1: Digital Presence Optimization (Months 1-3)</w:t>
      </w:r>
    </w:p>
    <w:p>
      <w:pPr>
        <w:pStyle w:val="FirstParagraph"/>
      </w:pPr>
      <w:r>
        <w:t xml:space="preserve">Revamp job listings with Kyoto-specific imagery (e.g., Gion district backgrounds with lab equipment) and Japanese-language content. Targeted Google Ads will appear on healthcare portals like Medical Career Japan, using keywords: "Laboratory Technician Kyoto," "Japan Lab Tech Jobs," and "Kyoto Healthcare Careers." LinkedIn campaigns will target professionals in Kyoto’s biotech clusters (Kansai Science City, Kizugawa Bio-Cluster).</w:t>
      </w:r>
    </w:p>
    <w:bookmarkEnd w:id="24"/>
    <w:bookmarkStart w:id="25" w:name="phase-2-community-engagement-months-4-6"/>
    <w:p>
      <w:pPr>
        <w:pStyle w:val="Heading3"/>
      </w:pPr>
      <w:r>
        <w:t xml:space="preserve">Phase 2: Community Engagement (Months 4-6)</w:t>
      </w:r>
    </w:p>
    <w:p>
      <w:pPr>
        <w:pStyle w:val="FirstParagraph"/>
      </w:pPr>
      <w:r>
        <w:t xml:space="preserve">Establish partnerships with key institutions:</w:t>
      </w:r>
    </w:p>
    <w:p>
      <w:pPr>
        <w:numPr>
          <w:ilvl w:val="0"/>
          <w:numId w:val="1003"/>
        </w:numPr>
        <w:pStyle w:val="Compact"/>
      </w:pPr>
      <w:r>
        <w:rPr>
          <w:bCs/>
          <w:b/>
        </w:rPr>
        <w:t xml:space="preserve">Kyoto University Medical School:</w:t>
      </w:r>
      <w:r>
        <w:t xml:space="preserve"> </w:t>
      </w:r>
      <w:r>
        <w:t xml:space="preserve">Host "Career Pathways" workshops co-branded with Kyoto Health Network</w:t>
      </w:r>
    </w:p>
    <w:p>
      <w:pPr>
        <w:numPr>
          <w:ilvl w:val="0"/>
          <w:numId w:val="1003"/>
        </w:numPr>
        <w:pStyle w:val="Compact"/>
      </w:pPr>
      <w:r>
        <w:rPr>
          <w:bCs/>
          <w:b/>
        </w:rPr>
        <w:t xml:space="preserve">Japan Society for Clinical Laboratory Science (JSCLS):</w:t>
      </w:r>
      <w:r>
        <w:t xml:space="preserve"> </w:t>
      </w:r>
      <w:r>
        <w:t xml:space="preserve">Sponsor Kyoto Chapter conferences with booth highlighting technician impact stories</w:t>
      </w:r>
    </w:p>
    <w:p>
      <w:pPr>
        <w:numPr>
          <w:ilvl w:val="0"/>
          <w:numId w:val="1003"/>
        </w:numPr>
        <w:pStyle w:val="Compact"/>
      </w:pPr>
      <w:r>
        <w:rPr>
          <w:bCs/>
          <w:b/>
        </w:rPr>
        <w:t xml:space="preserve">National Labor Exchange (NLE):</w:t>
      </w:r>
      <w:r>
        <w:t xml:space="preserve"> </w:t>
      </w:r>
      <w:r>
        <w:t xml:space="preserve">Feature vacancy in their "High-Demand Jobs in Kyoto" quarterly report</w:t>
      </w:r>
    </w:p>
    <w:bookmarkEnd w:id="25"/>
    <w:bookmarkStart w:id="26" w:name="X2851ffd47368d21fb5c97bf2a89f661b1e4aa92"/>
    <w:p>
      <w:pPr>
        <w:pStyle w:val="Heading3"/>
      </w:pPr>
      <w:r>
        <w:t xml:space="preserve">Phase 3: Cultural Integration Campaigns (Months 7-12)</w:t>
      </w:r>
    </w:p>
    <w:p>
      <w:pPr>
        <w:pStyle w:val="FirstParagraph"/>
      </w:pPr>
      <w:r>
        <w:t xml:space="preserve">Develop a multi-language recruitment film showing technicians conducting research at the Kyoto Imperial Palace’s adjacent medical facilities, emphasizing work-life harmony in Kyoto. Partner with "Japan Experience" agencies to offer free cultural orientation for international candidates. All communications will include QR codes linking to Kyoto tourism resources (e.g., Fushimi Inari Temple access for work-related travel).</w:t>
      </w:r>
    </w:p>
    <w:bookmarkEnd w:id="26"/>
    <w:bookmarkEnd w:id="27"/>
    <w:bookmarkStart w:id="28" w:name="compliance-and-cultural-adaptation"/>
    <w:p>
      <w:pPr>
        <w:pStyle w:val="Heading2"/>
      </w:pPr>
      <w:r>
        <w:t xml:space="preserve">Compliance and Cultural Adaptation</w:t>
      </w:r>
    </w:p>
    <w:p>
      <w:pPr>
        <w:pStyle w:val="FirstParagraph"/>
      </w:pPr>
      <w:r>
        <w:t xml:space="preserve">Every element of this Marketing Plan adheres to Japan Kyoto’s labor regulations, including:</w:t>
      </w:r>
    </w:p>
    <w:p>
      <w:pPr>
        <w:numPr>
          <w:ilvl w:val="0"/>
          <w:numId w:val="1004"/>
        </w:numPr>
        <w:pStyle w:val="Compact"/>
      </w:pPr>
      <w:r>
        <w:t xml:space="preserve">Strict compliance with Japan’s Equal Employment Opportunity Law (1985) in all recruitment materials</w:t>
      </w:r>
    </w:p>
    <w:p>
      <w:pPr>
        <w:numPr>
          <w:ilvl w:val="0"/>
          <w:numId w:val="1004"/>
        </w:numPr>
        <w:pStyle w:val="Compact"/>
      </w:pPr>
      <w:r>
        <w:t xml:space="preserve">Cultural sensitivity: All Japanese content written in honorific language (keigo) by certified local copywriters</w:t>
      </w:r>
    </w:p>
    <w:p>
      <w:pPr>
        <w:numPr>
          <w:ilvl w:val="0"/>
          <w:numId w:val="1004"/>
        </w:numPr>
        <w:pStyle w:val="Compact"/>
      </w:pPr>
      <w:r>
        <w:t xml:space="preserve">Local validation: Pre-testing campaign messaging with Kyoto-based HR professionals from the Kyoto Chamber of Commerce</w:t>
      </w:r>
    </w:p>
    <w:bookmarkEnd w:id="28"/>
    <w:bookmarkStart w:id="29" w:name="budget-allocation-key-components"/>
    <w:p>
      <w:pPr>
        <w:pStyle w:val="Heading2"/>
      </w:pPr>
      <w:r>
        <w:t xml:space="preserve">Budget Allocation (Key Components)</w:t>
      </w:r>
    </w:p>
    <w:p>
      <w:pPr>
        <w:pStyle w:val="FirstParagraph"/>
      </w:pPr>
      <w:r>
        <w:t xml:space="preserve">Initiative</w:t>
      </w:r>
    </w:p>
    <w:p>
      <w:pPr>
        <w:pStyle w:val="BodyText"/>
      </w:pPr>
      <w:r>
        <w:t xml:space="preserve">Allocation</w:t>
      </w:r>
    </w:p>
    <w:p>
      <w:pPr>
        <w:pStyle w:val="BodyText"/>
      </w:pPr>
      <w:r>
        <w:t xml:space="preserve">Expected Outcome</w:t>
      </w:r>
    </w:p>
    <w:p>
      <w:pPr>
        <w:pStyle w:val="BodyText"/>
      </w:pPr>
      <w:r>
        <w:t xml:space="preserve">Kyoto-Specific Digital Campaigns</w:t>
      </w:r>
    </w:p>
    <w:p>
      <w:pPr>
        <w:pStyle w:val="BodyText"/>
      </w:pPr>
      <w:r>
        <w:t xml:space="preserve">35%</w:t>
      </w:r>
    </w:p>
    <w:p>
      <w:pPr>
        <w:pStyle w:val="BodyText"/>
      </w:pPr>
      <w:r>
        <w:t xml:space="preserve">40% increase in qualified applicants from Kyoto area</w:t>
      </w:r>
    </w:p>
    <w:p>
      <w:pPr>
        <w:pStyle w:val="BodyText"/>
      </w:pPr>
      <w:r>
        <w:t xml:space="preserve">Institutional Partnerships (Uni/Associations)</w:t>
      </w:r>
    </w:p>
    <w:p>
      <w:pPr>
        <w:pStyle w:val="BodyText"/>
      </w:pPr>
      <w:r>
        <w:t xml:space="preserve">25%</w:t>
      </w:r>
    </w:p>
    <w:p>
      <w:pPr>
        <w:pStyle w:val="BodyText"/>
      </w:pPr>
      <w:r>
        <w:t xml:space="preserve">National recognition through Kyoto Medical Association endorsement</w:t>
      </w:r>
    </w:p>
    <w:p>
      <w:pPr>
        <w:pStyle w:val="BodyText"/>
      </w:pPr>
      <w:r>
        <w:t xml:space="preserve">Cultural Immersion Materials for International Candidates</w:t>
      </w:r>
    </w:p>
    <w:p>
      <w:pPr>
        <w:pStyle w:val="BodyText"/>
      </w:pPr>
      <w:r>
        <w:t xml:space="preserve">20%</w:t>
      </w:r>
    </w:p>
    <w:p>
      <w:pPr>
        <w:pStyle w:val="BodyText"/>
      </w:pPr>
      <w:r>
        <w:t xml:space="preserve">30% higher acceptance rate among overseas candidates</w:t>
      </w:r>
    </w:p>
    <w:p>
      <w:pPr>
        <w:pStyle w:val="BodyText"/>
      </w:pPr>
      <w:r>
        <w:t xml:space="preserve">Evaluation &amp; Compliance Audits</w:t>
      </w:r>
    </w:p>
    <w:p>
      <w:pPr>
        <w:pStyle w:val="BodyText"/>
      </w:pPr>
      <w:r>
        <w:t xml:space="preserve">20%</w:t>
      </w:r>
    </w:p>
    <w:p>
      <w:pPr>
        <w:pStyle w:val="BodyText"/>
      </w:pPr>
      <w:r>
        <w:t xml:space="preserve">100% adherence to Japan Kyoto labor standards</w:t>
      </w:r>
    </w:p>
    <w:bookmarkEnd w:id="29"/>
    <w:bookmarkStart w:id="30" w:name="kyoto-specific-performance-metrics"/>
    <w:p>
      <w:pPr>
        <w:pStyle w:val="Heading2"/>
      </w:pPr>
      <w:r>
        <w:t xml:space="preserve">Kyoto-Specific Performance Metrics</w:t>
      </w:r>
    </w:p>
    <w:p>
      <w:pPr>
        <w:pStyle w:val="FirstParagraph"/>
      </w:pPr>
      <w:r>
        <w:t xml:space="preserve">We measure success through Kyoto-relevant KPIs:</w:t>
      </w:r>
    </w:p>
    <w:p>
      <w:pPr>
        <w:numPr>
          <w:ilvl w:val="0"/>
          <w:numId w:val="1005"/>
        </w:numPr>
        <w:pStyle w:val="Compact"/>
      </w:pPr>
      <w:r>
        <w:rPr>
          <w:bCs/>
          <w:b/>
        </w:rPr>
        <w:t xml:space="preserve">Local Candidate Acquisition Cost (LACC):</w:t>
      </w:r>
      <w:r>
        <w:t xml:space="preserve"> </w:t>
      </w:r>
      <w:r>
        <w:t xml:space="preserve">Target: ¥150,000 (below Japan national average of ¥210,000)</w:t>
      </w:r>
    </w:p>
    <w:p>
      <w:pPr>
        <w:numPr>
          <w:ilvl w:val="0"/>
          <w:numId w:val="1005"/>
        </w:numPr>
        <w:pStyle w:val="Compact"/>
      </w:pPr>
      <w:r>
        <w:rPr>
          <w:bCs/>
          <w:b/>
        </w:rPr>
        <w:t xml:space="preserve">Kyoto Cultural Integration Rate:</w:t>
      </w:r>
      <w:r>
        <w:t xml:space="preserve"> </w:t>
      </w:r>
      <w:r>
        <w:t xml:space="preserve">Target: 95% of hired technicians participating in Kyoto cultural orientation</w:t>
      </w:r>
    </w:p>
    <w:p>
      <w:pPr>
        <w:numPr>
          <w:ilvl w:val="0"/>
          <w:numId w:val="1005"/>
        </w:numPr>
        <w:pStyle w:val="Compact"/>
      </w:pPr>
      <w:r>
        <w:rPr>
          <w:bCs/>
          <w:b/>
        </w:rPr>
        <w:t xml:space="preserve">Retention Rate at 12 Months:</w:t>
      </w:r>
      <w:r>
        <w:t xml:space="preserve"> </w:t>
      </w:r>
      <w:r>
        <w:t xml:space="preserve">Target: 85% (exceeding Kyoto’s average of 72% for technical roles)</w:t>
      </w:r>
    </w:p>
    <w:bookmarkEnd w:id="30"/>
    <w:bookmarkStart w:id="31" w:name="X70af1cdf870747ee1529b33849aaa0973e34563"/>
    <w:p>
      <w:pPr>
        <w:pStyle w:val="Heading2"/>
      </w:pPr>
      <w:r>
        <w:t xml:space="preserve">Conclusion: Advancing Kyoto's Healthcare Legacy</w:t>
      </w:r>
    </w:p>
    <w:p>
      <w:pPr>
        <w:pStyle w:val="FirstParagraph"/>
      </w:pPr>
      <w:r>
        <w:t xml:space="preserve">This Marketing Plan transcends standard recruitment by embedding the Laboratory Technician role within Kyoto’s identity as Japan’s nexus of medical tradition and innovation. By focusing on cultural resonance, institutional partnerships unique to Japan Kyoto, and strategic positioning as a career that honors both technical excellence and Japanese heritage, this plan ensures sustained talent acquisition aligned with Kyoto’s 2030 Healthcare Vision. The successful implementation of this Marketing Plan will solidify our position as the preferred Laboratory Technician employer in Japan Kyoto – where every technician becomes a vital thread in the city’s healthcare tapestry.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Japan Kyoto</dc:title>
  <dc:creator/>
  <dc:language>en</dc:language>
  <cp:keywords/>
  <dcterms:created xsi:type="dcterms:W3CDTF">2026-06-01T22:11:31Z</dcterms:created>
  <dcterms:modified xsi:type="dcterms:W3CDTF">2026-06-01T22:11:31Z</dcterms:modified>
</cp:coreProperties>
</file>

<file path=docProps/custom.xml><?xml version="1.0" encoding="utf-8"?>
<Properties xmlns="http://schemas.openxmlformats.org/officeDocument/2006/custom-properties" xmlns:vt="http://schemas.openxmlformats.org/officeDocument/2006/docPropsVTypes"/>
</file>